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741480">
      <w:pPr>
        <w:pStyle w:val="9"/>
        <w:spacing w:line="400" w:lineRule="exact"/>
        <w:ind w:firstLine="560"/>
        <w:rPr>
          <w:rFonts w:ascii="Times New Roman" w:hAnsi="Times New Roman"/>
          <w:color w:val="auto"/>
          <w:sz w:val="20"/>
          <w:highlight w:val="none"/>
        </w:rPr>
      </w:pPr>
    </w:p>
    <w:p w14:paraId="706452D5">
      <w:pPr>
        <w:spacing w:line="400" w:lineRule="exact"/>
        <w:rPr>
          <w:rFonts w:ascii="Times New Roman" w:hAnsi="Times New Roman"/>
          <w:color w:val="auto"/>
          <w:highlight w:val="none"/>
        </w:rPr>
      </w:pPr>
    </w:p>
    <w:p w14:paraId="58AE6FC0">
      <w:pPr>
        <w:spacing w:line="400" w:lineRule="exact"/>
        <w:rPr>
          <w:rFonts w:ascii="Times New Roman" w:hAnsi="Times New Roman"/>
          <w:color w:val="auto"/>
          <w:highlight w:val="none"/>
          <w:u w:val="single"/>
        </w:rPr>
      </w:pPr>
    </w:p>
    <w:p w14:paraId="1F22472B">
      <w:pPr>
        <w:spacing w:line="360" w:lineRule="auto"/>
        <w:jc w:val="center"/>
        <w:rPr>
          <w:rFonts w:hint="eastAsia" w:ascii="仿宋" w:hAnsi="仿宋" w:eastAsia="仿宋" w:cs="仿宋"/>
          <w:color w:val="auto"/>
          <w:sz w:val="44"/>
          <w:highlight w:val="none"/>
          <w:lang w:val="en-US" w:eastAsia="zh-CN"/>
        </w:rPr>
      </w:pPr>
      <w:r>
        <w:rPr>
          <w:rFonts w:hint="eastAsia" w:ascii="仿宋" w:hAnsi="仿宋" w:eastAsia="仿宋" w:cs="仿宋"/>
          <w:color w:val="auto"/>
          <w:sz w:val="44"/>
          <w:highlight w:val="none"/>
          <w:lang w:val="en-US" w:eastAsia="zh-CN"/>
        </w:rPr>
        <w:t>安徽万丰祥餐饮经营管理有限公司食材配送服务入围采购项目</w:t>
      </w:r>
    </w:p>
    <w:p w14:paraId="34905A66">
      <w:pPr>
        <w:jc w:val="center"/>
        <w:rPr>
          <w:rFonts w:ascii="Times New Roman" w:hAnsi="Times New Roman" w:eastAsia="黑体"/>
          <w:color w:val="auto"/>
          <w:sz w:val="28"/>
          <w:szCs w:val="28"/>
          <w:highlight w:val="none"/>
        </w:rPr>
      </w:pPr>
    </w:p>
    <w:p w14:paraId="25A86897">
      <w:pPr>
        <w:jc w:val="center"/>
        <w:rPr>
          <w:rFonts w:hint="default" w:ascii="Times New Roman" w:hAnsi="Times New Roman" w:eastAsia="黑体"/>
          <w:color w:val="auto"/>
          <w:sz w:val="28"/>
          <w:szCs w:val="28"/>
          <w:highlight w:val="none"/>
          <w:lang w:val="en-US" w:eastAsia="zh-CN"/>
        </w:rPr>
      </w:pPr>
      <w:r>
        <w:rPr>
          <w:rFonts w:hint="eastAsia" w:ascii="仿宋" w:hAnsi="仿宋" w:eastAsia="仿宋" w:cs="仿宋"/>
          <w:color w:val="auto"/>
          <w:sz w:val="28"/>
          <w:szCs w:val="28"/>
          <w:highlight w:val="none"/>
        </w:rPr>
        <w:t>采购编号：</w:t>
      </w:r>
      <w:r>
        <w:rPr>
          <w:rFonts w:hint="eastAsia" w:ascii="Times New Roman" w:hAnsi="Times New Roman" w:eastAsia="黑体"/>
          <w:color w:val="auto"/>
          <w:sz w:val="28"/>
          <w:szCs w:val="28"/>
          <w:highlight w:val="none"/>
          <w:lang w:val="en-US" w:eastAsia="zh-CN"/>
        </w:rPr>
        <w:t>WFX20260514</w:t>
      </w:r>
    </w:p>
    <w:p w14:paraId="6CA60678">
      <w:pPr>
        <w:spacing w:line="400" w:lineRule="exact"/>
        <w:rPr>
          <w:rFonts w:ascii="Times New Roman" w:hAnsi="Times New Roman"/>
          <w:color w:val="auto"/>
          <w:highlight w:val="none"/>
        </w:rPr>
      </w:pPr>
    </w:p>
    <w:p w14:paraId="4C39CAD2">
      <w:pPr>
        <w:spacing w:line="400" w:lineRule="exact"/>
        <w:jc w:val="right"/>
        <w:rPr>
          <w:rFonts w:ascii="Times New Roman" w:hAnsi="Times New Roman"/>
          <w:color w:val="auto"/>
          <w:highlight w:val="none"/>
        </w:rPr>
      </w:pPr>
    </w:p>
    <w:p w14:paraId="5816FC1B">
      <w:pPr>
        <w:rPr>
          <w:rFonts w:ascii="Times New Roman" w:hAnsi="Times New Roman"/>
          <w:color w:val="auto"/>
          <w:sz w:val="28"/>
          <w:szCs w:val="28"/>
          <w:highlight w:val="none"/>
        </w:rPr>
      </w:pPr>
    </w:p>
    <w:p w14:paraId="4655DBA7">
      <w:pPr>
        <w:rPr>
          <w:rFonts w:ascii="Times New Roman" w:hAnsi="Times New Roman"/>
          <w:color w:val="auto"/>
          <w:sz w:val="28"/>
          <w:highlight w:val="none"/>
        </w:rPr>
      </w:pPr>
    </w:p>
    <w:p w14:paraId="68D1D72E">
      <w:pPr>
        <w:spacing w:line="360" w:lineRule="auto"/>
        <w:jc w:val="center"/>
        <w:rPr>
          <w:rFonts w:hint="eastAsia" w:ascii="仿宋" w:hAnsi="仿宋" w:eastAsia="仿宋" w:cs="仿宋"/>
          <w:color w:val="auto"/>
          <w:sz w:val="44"/>
          <w:highlight w:val="none"/>
        </w:rPr>
      </w:pPr>
      <w:r>
        <w:rPr>
          <w:rFonts w:hint="eastAsia" w:ascii="仿宋" w:hAnsi="仿宋" w:eastAsia="仿宋" w:cs="仿宋"/>
          <w:color w:val="auto"/>
          <w:sz w:val="44"/>
          <w:highlight w:val="none"/>
          <w:lang w:val="en-US" w:eastAsia="zh-CN"/>
        </w:rPr>
        <w:t>询比</w:t>
      </w:r>
      <w:r>
        <w:rPr>
          <w:rFonts w:hint="eastAsia" w:ascii="仿宋" w:hAnsi="仿宋" w:eastAsia="仿宋" w:cs="仿宋"/>
          <w:color w:val="auto"/>
          <w:sz w:val="44"/>
          <w:highlight w:val="none"/>
        </w:rPr>
        <w:t>采购文件</w:t>
      </w:r>
    </w:p>
    <w:p w14:paraId="61C1031E">
      <w:pPr>
        <w:spacing w:line="400" w:lineRule="exact"/>
        <w:rPr>
          <w:rFonts w:ascii="Times New Roman" w:hAnsi="Times New Roman"/>
          <w:color w:val="auto"/>
          <w:highlight w:val="none"/>
        </w:rPr>
      </w:pPr>
    </w:p>
    <w:p w14:paraId="47B3676F">
      <w:pPr>
        <w:spacing w:line="400" w:lineRule="exact"/>
        <w:rPr>
          <w:rFonts w:ascii="Times New Roman" w:hAnsi="Times New Roman"/>
          <w:color w:val="auto"/>
          <w:highlight w:val="none"/>
        </w:rPr>
      </w:pPr>
    </w:p>
    <w:p w14:paraId="5723667F">
      <w:pPr>
        <w:spacing w:line="400" w:lineRule="exact"/>
        <w:rPr>
          <w:rFonts w:ascii="Times New Roman" w:hAnsi="Times New Roman"/>
          <w:color w:val="auto"/>
          <w:highlight w:val="none"/>
        </w:rPr>
      </w:pPr>
    </w:p>
    <w:p w14:paraId="102A424A">
      <w:pPr>
        <w:spacing w:line="400" w:lineRule="exact"/>
        <w:rPr>
          <w:rFonts w:ascii="Times New Roman" w:hAnsi="Times New Roman"/>
          <w:color w:val="auto"/>
          <w:highlight w:val="none"/>
        </w:rPr>
      </w:pPr>
    </w:p>
    <w:p w14:paraId="4F458008">
      <w:pPr>
        <w:spacing w:line="400" w:lineRule="exact"/>
        <w:rPr>
          <w:rFonts w:ascii="Times New Roman" w:hAnsi="Times New Roman"/>
          <w:color w:val="auto"/>
          <w:highlight w:val="none"/>
        </w:rPr>
      </w:pPr>
    </w:p>
    <w:p w14:paraId="667F87A8">
      <w:pPr>
        <w:spacing w:line="400" w:lineRule="exact"/>
        <w:rPr>
          <w:rFonts w:ascii="Times New Roman" w:hAnsi="Times New Roman"/>
          <w:color w:val="auto"/>
          <w:highlight w:val="none"/>
        </w:rPr>
      </w:pPr>
    </w:p>
    <w:p w14:paraId="40052C8C">
      <w:pPr>
        <w:spacing w:line="400" w:lineRule="exact"/>
        <w:rPr>
          <w:rFonts w:ascii="Times New Roman" w:hAnsi="Times New Roman"/>
          <w:color w:val="auto"/>
          <w:highlight w:val="none"/>
        </w:rPr>
      </w:pPr>
    </w:p>
    <w:p w14:paraId="254791E7">
      <w:pPr>
        <w:spacing w:line="400" w:lineRule="exact"/>
        <w:rPr>
          <w:rFonts w:ascii="Times New Roman" w:hAnsi="Times New Roman"/>
          <w:color w:val="auto"/>
          <w:highlight w:val="none"/>
        </w:rPr>
      </w:pPr>
    </w:p>
    <w:p w14:paraId="168AEA46">
      <w:pPr>
        <w:spacing w:line="400" w:lineRule="exact"/>
        <w:rPr>
          <w:rFonts w:ascii="Times New Roman" w:hAnsi="Times New Roman"/>
          <w:color w:val="auto"/>
          <w:highlight w:val="none"/>
        </w:rPr>
      </w:pPr>
    </w:p>
    <w:p w14:paraId="18446073">
      <w:pPr>
        <w:spacing w:line="400" w:lineRule="exact"/>
        <w:rPr>
          <w:rFonts w:ascii="Times New Roman" w:hAnsi="Times New Roman"/>
          <w:color w:val="auto"/>
          <w:highlight w:val="none"/>
        </w:rPr>
      </w:pPr>
    </w:p>
    <w:p w14:paraId="232AFB9E">
      <w:pPr>
        <w:spacing w:line="400" w:lineRule="exact"/>
        <w:rPr>
          <w:rFonts w:ascii="Times New Roman" w:hAnsi="Times New Roman"/>
          <w:color w:val="auto"/>
          <w:highlight w:val="none"/>
        </w:rPr>
      </w:pPr>
    </w:p>
    <w:p w14:paraId="5CA0ECD6">
      <w:pPr>
        <w:spacing w:line="400" w:lineRule="exact"/>
        <w:rPr>
          <w:rFonts w:ascii="Times New Roman" w:hAnsi="Times New Roman"/>
          <w:color w:val="auto"/>
          <w:highlight w:val="none"/>
        </w:rPr>
      </w:pPr>
    </w:p>
    <w:p w14:paraId="2D1ED903">
      <w:pPr>
        <w:spacing w:line="360" w:lineRule="auto"/>
        <w:ind w:firstLine="1680" w:firstLineChars="600"/>
        <w:jc w:val="both"/>
        <w:rPr>
          <w:rFonts w:hint="eastAsia" w:ascii="仿宋" w:hAnsi="仿宋" w:eastAsia="仿宋" w:cs="仿宋"/>
          <w:color w:val="auto"/>
          <w:sz w:val="28"/>
          <w:highlight w:val="none"/>
        </w:rPr>
      </w:pPr>
    </w:p>
    <w:p w14:paraId="73DA4010">
      <w:pPr>
        <w:spacing w:line="360" w:lineRule="auto"/>
        <w:ind w:firstLine="1680" w:firstLineChars="600"/>
        <w:jc w:val="both"/>
        <w:rPr>
          <w:rFonts w:hint="eastAsia" w:ascii="仿宋" w:hAnsi="仿宋" w:eastAsia="仿宋" w:cs="仿宋"/>
          <w:color w:val="auto"/>
          <w:sz w:val="28"/>
          <w:highlight w:val="none"/>
          <w:lang w:eastAsia="zh-CN"/>
        </w:rPr>
      </w:pPr>
      <w:r>
        <w:rPr>
          <w:rFonts w:hint="eastAsia" w:ascii="仿宋" w:hAnsi="仿宋" w:eastAsia="仿宋" w:cs="仿宋"/>
          <w:color w:val="auto"/>
          <w:sz w:val="28"/>
          <w:highlight w:val="none"/>
        </w:rPr>
        <w:t>采</w:t>
      </w:r>
      <w:r>
        <w:rPr>
          <w:rFonts w:hint="eastAsia" w:ascii="仿宋" w:hAnsi="仿宋" w:eastAsia="仿宋" w:cs="仿宋"/>
          <w:color w:val="auto"/>
          <w:sz w:val="28"/>
          <w:highlight w:val="none"/>
          <w:lang w:val="en-US" w:eastAsia="zh-CN"/>
        </w:rPr>
        <w:t xml:space="preserve">   </w:t>
      </w:r>
      <w:r>
        <w:rPr>
          <w:rFonts w:hint="eastAsia" w:ascii="仿宋" w:hAnsi="仿宋" w:eastAsia="仿宋" w:cs="仿宋"/>
          <w:color w:val="auto"/>
          <w:sz w:val="28"/>
          <w:highlight w:val="none"/>
        </w:rPr>
        <w:t>购</w:t>
      </w:r>
      <w:r>
        <w:rPr>
          <w:rFonts w:hint="eastAsia" w:ascii="仿宋" w:hAnsi="仿宋" w:eastAsia="仿宋" w:cs="仿宋"/>
          <w:color w:val="auto"/>
          <w:sz w:val="28"/>
          <w:highlight w:val="none"/>
          <w:lang w:val="en-US" w:eastAsia="zh-CN"/>
        </w:rPr>
        <w:t xml:space="preserve">   </w:t>
      </w:r>
      <w:r>
        <w:rPr>
          <w:rFonts w:hint="eastAsia" w:ascii="仿宋" w:hAnsi="仿宋" w:eastAsia="仿宋" w:cs="仿宋"/>
          <w:color w:val="auto"/>
          <w:sz w:val="28"/>
          <w:highlight w:val="none"/>
        </w:rPr>
        <w:t>人</w:t>
      </w:r>
      <w:r>
        <w:rPr>
          <w:rFonts w:hint="eastAsia" w:ascii="仿宋" w:hAnsi="仿宋" w:eastAsia="仿宋" w:cs="仿宋"/>
          <w:color w:val="auto"/>
          <w:sz w:val="28"/>
          <w:highlight w:val="none"/>
          <w:lang w:eastAsia="zh-CN"/>
        </w:rPr>
        <w:t>：安徽万丰祥餐饮经营管理有限公司</w:t>
      </w:r>
    </w:p>
    <w:p w14:paraId="0EBFFDBF">
      <w:pPr>
        <w:spacing w:line="360" w:lineRule="auto"/>
        <w:ind w:firstLine="1680" w:firstLineChars="600"/>
        <w:jc w:val="both"/>
        <w:rPr>
          <w:rFonts w:hint="default" w:ascii="仿宋" w:hAnsi="仿宋" w:eastAsia="仿宋" w:cs="仿宋"/>
          <w:color w:val="auto"/>
          <w:sz w:val="28"/>
          <w:highlight w:val="none"/>
          <w:lang w:val="en-US" w:eastAsia="zh-CN"/>
        </w:rPr>
      </w:pPr>
      <w:r>
        <w:rPr>
          <w:rFonts w:hint="eastAsia" w:ascii="仿宋" w:hAnsi="仿宋" w:eastAsia="仿宋" w:cs="仿宋"/>
          <w:color w:val="auto"/>
          <w:sz w:val="28"/>
          <w:highlight w:val="none"/>
          <w:lang w:val="en-US" w:eastAsia="zh-CN"/>
        </w:rPr>
        <w:t>日        期：2026年05月</w:t>
      </w:r>
    </w:p>
    <w:p w14:paraId="4D51F472">
      <w:pPr>
        <w:jc w:val="center"/>
        <w:rPr>
          <w:rFonts w:ascii="Times New Roman" w:hAnsi="Times New Roman" w:eastAsia="黑体"/>
          <w:color w:val="auto"/>
          <w:sz w:val="28"/>
          <w:highlight w:val="none"/>
        </w:rPr>
      </w:pPr>
    </w:p>
    <w:p w14:paraId="40BA199A">
      <w:pPr>
        <w:jc w:val="center"/>
        <w:rPr>
          <w:rFonts w:ascii="Times New Roman" w:hAnsi="Times New Roman" w:eastAsia="黑体"/>
          <w:color w:val="auto"/>
          <w:sz w:val="28"/>
          <w:highlight w:val="none"/>
        </w:rPr>
      </w:pPr>
    </w:p>
    <w:p w14:paraId="6901FD94">
      <w:pPr>
        <w:jc w:val="center"/>
        <w:rPr>
          <w:rFonts w:ascii="Times New Roman" w:hAnsi="Times New Roman"/>
          <w:color w:val="auto"/>
          <w:highlight w:val="none"/>
        </w:rPr>
      </w:pPr>
      <w:r>
        <w:rPr>
          <w:rFonts w:ascii="Times New Roman" w:hAnsi="Times New Roman"/>
          <w:color w:val="auto"/>
          <w:highlight w:val="none"/>
        </w:rPr>
        <w:br w:type="page"/>
      </w:r>
    </w:p>
    <w:p w14:paraId="5D2041E9">
      <w:pPr>
        <w:jc w:val="center"/>
        <w:rPr>
          <w:rFonts w:hint="eastAsia" w:ascii="仿宋" w:hAnsi="仿宋" w:eastAsia="仿宋" w:cs="仿宋"/>
          <w:b/>
          <w:bCs/>
          <w:color w:val="auto"/>
          <w:sz w:val="32"/>
          <w:highlight w:val="none"/>
        </w:rPr>
      </w:pPr>
      <w:r>
        <w:rPr>
          <w:rFonts w:hint="eastAsia" w:ascii="仿宋" w:hAnsi="仿宋" w:eastAsia="仿宋" w:cs="仿宋"/>
          <w:b/>
          <w:bCs/>
          <w:color w:val="auto"/>
          <w:sz w:val="32"/>
          <w:highlight w:val="none"/>
        </w:rPr>
        <w:t>目  录</w:t>
      </w:r>
    </w:p>
    <w:p w14:paraId="4DEA9414">
      <w:pPr>
        <w:jc w:val="center"/>
        <w:rPr>
          <w:rFonts w:ascii="Times New Roman" w:hAnsi="Times New Roman"/>
          <w:color w:val="auto"/>
          <w:highlight w:val="none"/>
        </w:rPr>
      </w:pPr>
    </w:p>
    <w:p w14:paraId="528062E3">
      <w:pPr>
        <w:pStyle w:val="24"/>
        <w:tabs>
          <w:tab w:val="right" w:leader="dot" w:pos="9638"/>
        </w:tabs>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TOC \o "1-3" \h \z \u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HYPERLINK \l _Toc27693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rPr>
        <w:t>第一章  询比采购公告</w:t>
      </w:r>
      <w:r>
        <w:rPr>
          <w:rFonts w:hint="eastAsia" w:ascii="仿宋" w:hAnsi="仿宋" w:eastAsia="仿宋" w:cs="仿宋"/>
          <w:i w:val="0"/>
          <w:iCs w:val="0"/>
          <w:color w:val="auto"/>
          <w:sz w:val="21"/>
          <w:szCs w:val="21"/>
          <w:highlight w:val="none"/>
        </w:rPr>
        <w:tab/>
      </w: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PAGEREF _Toc27693 \h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rPr>
        <w:t>4</w:t>
      </w:r>
      <w:r>
        <w:rPr>
          <w:rFonts w:hint="eastAsia" w:ascii="仿宋" w:hAnsi="仿宋" w:eastAsia="仿宋" w:cs="仿宋"/>
          <w:i w:val="0"/>
          <w:iCs w:val="0"/>
          <w:color w:val="auto"/>
          <w:sz w:val="21"/>
          <w:szCs w:val="21"/>
          <w:highlight w:val="none"/>
        </w:rPr>
        <w:fldChar w:fldCharType="end"/>
      </w:r>
      <w:r>
        <w:rPr>
          <w:rFonts w:hint="eastAsia" w:ascii="仿宋" w:hAnsi="仿宋" w:eastAsia="仿宋" w:cs="仿宋"/>
          <w:i w:val="0"/>
          <w:iCs w:val="0"/>
          <w:color w:val="auto"/>
          <w:sz w:val="21"/>
          <w:szCs w:val="21"/>
          <w:highlight w:val="none"/>
        </w:rPr>
        <w:fldChar w:fldCharType="end"/>
      </w:r>
    </w:p>
    <w:p w14:paraId="6AD91FC9">
      <w:pPr>
        <w:pStyle w:val="24"/>
        <w:tabs>
          <w:tab w:val="right" w:leader="dot" w:pos="9638"/>
        </w:tabs>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HYPERLINK \l _Toc24817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rPr>
        <w:t>第二章  供应商须知</w:t>
      </w:r>
      <w:r>
        <w:rPr>
          <w:rFonts w:hint="eastAsia" w:ascii="仿宋" w:hAnsi="仿宋" w:eastAsia="仿宋" w:cs="仿宋"/>
          <w:i w:val="0"/>
          <w:iCs w:val="0"/>
          <w:color w:val="auto"/>
          <w:sz w:val="21"/>
          <w:szCs w:val="21"/>
          <w:highlight w:val="none"/>
        </w:rPr>
        <w:tab/>
      </w: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PAGEREF _Toc24817 \h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rPr>
        <w:t>6</w:t>
      </w:r>
      <w:r>
        <w:rPr>
          <w:rFonts w:hint="eastAsia" w:ascii="仿宋" w:hAnsi="仿宋" w:eastAsia="仿宋" w:cs="仿宋"/>
          <w:i w:val="0"/>
          <w:iCs w:val="0"/>
          <w:color w:val="auto"/>
          <w:sz w:val="21"/>
          <w:szCs w:val="21"/>
          <w:highlight w:val="none"/>
        </w:rPr>
        <w:fldChar w:fldCharType="end"/>
      </w:r>
      <w:r>
        <w:rPr>
          <w:rFonts w:hint="eastAsia" w:ascii="仿宋" w:hAnsi="仿宋" w:eastAsia="仿宋" w:cs="仿宋"/>
          <w:i w:val="0"/>
          <w:iCs w:val="0"/>
          <w:color w:val="auto"/>
          <w:sz w:val="21"/>
          <w:szCs w:val="21"/>
          <w:highlight w:val="none"/>
        </w:rPr>
        <w:fldChar w:fldCharType="end"/>
      </w:r>
    </w:p>
    <w:p w14:paraId="32E1ADEA">
      <w:pPr>
        <w:pStyle w:val="24"/>
        <w:tabs>
          <w:tab w:val="right" w:leader="dot" w:pos="9638"/>
        </w:tabs>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HYPERLINK \l _Toc13259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rPr>
        <w:t>第三章  评审办法</w:t>
      </w:r>
      <w:r>
        <w:rPr>
          <w:rFonts w:hint="eastAsia" w:ascii="仿宋" w:hAnsi="仿宋" w:eastAsia="仿宋" w:cs="仿宋"/>
          <w:i w:val="0"/>
          <w:iCs w:val="0"/>
          <w:color w:val="auto"/>
          <w:sz w:val="21"/>
          <w:szCs w:val="21"/>
          <w:highlight w:val="none"/>
          <w:lang w:val="en-US" w:eastAsia="zh-CN"/>
        </w:rPr>
        <w:t>（综合评分法）</w:t>
      </w:r>
      <w:r>
        <w:rPr>
          <w:rFonts w:hint="eastAsia" w:ascii="仿宋" w:hAnsi="仿宋" w:eastAsia="仿宋" w:cs="仿宋"/>
          <w:i w:val="0"/>
          <w:iCs w:val="0"/>
          <w:color w:val="auto"/>
          <w:sz w:val="21"/>
          <w:szCs w:val="21"/>
          <w:highlight w:val="none"/>
        </w:rPr>
        <w:tab/>
      </w: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PAGEREF _Toc13259 \h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rPr>
        <w:t>18</w:t>
      </w:r>
      <w:r>
        <w:rPr>
          <w:rFonts w:hint="eastAsia" w:ascii="仿宋" w:hAnsi="仿宋" w:eastAsia="仿宋" w:cs="仿宋"/>
          <w:i w:val="0"/>
          <w:iCs w:val="0"/>
          <w:color w:val="auto"/>
          <w:sz w:val="21"/>
          <w:szCs w:val="21"/>
          <w:highlight w:val="none"/>
        </w:rPr>
        <w:fldChar w:fldCharType="end"/>
      </w:r>
      <w:r>
        <w:rPr>
          <w:rFonts w:hint="eastAsia" w:ascii="仿宋" w:hAnsi="仿宋" w:eastAsia="仿宋" w:cs="仿宋"/>
          <w:i w:val="0"/>
          <w:iCs w:val="0"/>
          <w:color w:val="auto"/>
          <w:sz w:val="21"/>
          <w:szCs w:val="21"/>
          <w:highlight w:val="none"/>
        </w:rPr>
        <w:fldChar w:fldCharType="end"/>
      </w:r>
    </w:p>
    <w:p w14:paraId="6531D70D">
      <w:pPr>
        <w:pStyle w:val="24"/>
        <w:tabs>
          <w:tab w:val="right" w:leader="dot" w:pos="9638"/>
        </w:tabs>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HYPERLINK \l _Toc22160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lang w:val="en-US" w:eastAsia="zh-CN"/>
        </w:rPr>
        <w:t>第四章</w:t>
      </w:r>
      <w:r>
        <w:rPr>
          <w:rFonts w:hint="eastAsia" w:ascii="仿宋" w:hAnsi="仿宋" w:eastAsia="仿宋" w:cs="仿宋"/>
          <w:i w:val="0"/>
          <w:iCs w:val="0"/>
          <w:color w:val="auto"/>
          <w:sz w:val="21"/>
          <w:szCs w:val="21"/>
          <w:highlight w:val="none"/>
        </w:rPr>
        <w:t xml:space="preserve"> 合同条款及格式</w:t>
      </w:r>
      <w:r>
        <w:rPr>
          <w:rFonts w:hint="eastAsia" w:ascii="仿宋" w:hAnsi="仿宋" w:eastAsia="仿宋" w:cs="仿宋"/>
          <w:i w:val="0"/>
          <w:iCs w:val="0"/>
          <w:color w:val="auto"/>
          <w:sz w:val="21"/>
          <w:szCs w:val="21"/>
          <w:highlight w:val="none"/>
        </w:rPr>
        <w:tab/>
      </w: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PAGEREF _Toc22160 \h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rPr>
        <w:t>25</w:t>
      </w:r>
      <w:r>
        <w:rPr>
          <w:rFonts w:hint="eastAsia" w:ascii="仿宋" w:hAnsi="仿宋" w:eastAsia="仿宋" w:cs="仿宋"/>
          <w:i w:val="0"/>
          <w:iCs w:val="0"/>
          <w:color w:val="auto"/>
          <w:sz w:val="21"/>
          <w:szCs w:val="21"/>
          <w:highlight w:val="none"/>
        </w:rPr>
        <w:fldChar w:fldCharType="end"/>
      </w:r>
      <w:r>
        <w:rPr>
          <w:rFonts w:hint="eastAsia" w:ascii="仿宋" w:hAnsi="仿宋" w:eastAsia="仿宋" w:cs="仿宋"/>
          <w:i w:val="0"/>
          <w:iCs w:val="0"/>
          <w:color w:val="auto"/>
          <w:sz w:val="21"/>
          <w:szCs w:val="21"/>
          <w:highlight w:val="none"/>
        </w:rPr>
        <w:fldChar w:fldCharType="end"/>
      </w:r>
    </w:p>
    <w:p w14:paraId="07B7A3AC">
      <w:pPr>
        <w:pStyle w:val="24"/>
        <w:tabs>
          <w:tab w:val="right" w:leader="dot" w:pos="9638"/>
        </w:tabs>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HYPERLINK \l _Toc27128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rPr>
        <w:t xml:space="preserve">第五章  </w:t>
      </w:r>
      <w:r>
        <w:rPr>
          <w:rFonts w:hint="eastAsia" w:ascii="仿宋" w:hAnsi="仿宋" w:eastAsia="仿宋" w:cs="仿宋"/>
          <w:i w:val="0"/>
          <w:iCs w:val="0"/>
          <w:color w:val="auto"/>
          <w:sz w:val="21"/>
          <w:szCs w:val="21"/>
          <w:highlight w:val="none"/>
          <w:lang w:val="en-US" w:eastAsia="zh-CN"/>
        </w:rPr>
        <w:t>服务</w:t>
      </w:r>
      <w:r>
        <w:rPr>
          <w:rFonts w:hint="eastAsia" w:ascii="仿宋" w:hAnsi="仿宋" w:eastAsia="仿宋" w:cs="仿宋"/>
          <w:i w:val="0"/>
          <w:iCs w:val="0"/>
          <w:color w:val="auto"/>
          <w:sz w:val="21"/>
          <w:szCs w:val="21"/>
          <w:highlight w:val="none"/>
        </w:rPr>
        <w:t>需求</w:t>
      </w:r>
      <w:bookmarkStart w:id="509" w:name="_GoBack"/>
      <w:bookmarkEnd w:id="509"/>
      <w:r>
        <w:rPr>
          <w:rFonts w:hint="eastAsia" w:ascii="仿宋" w:hAnsi="仿宋" w:eastAsia="仿宋" w:cs="仿宋"/>
          <w:i w:val="0"/>
          <w:iCs w:val="0"/>
          <w:color w:val="auto"/>
          <w:sz w:val="21"/>
          <w:szCs w:val="21"/>
          <w:highlight w:val="none"/>
        </w:rPr>
        <w:tab/>
      </w: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PAGEREF _Toc27128 \h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rPr>
        <w:t>38</w:t>
      </w:r>
      <w:r>
        <w:rPr>
          <w:rFonts w:hint="eastAsia" w:ascii="仿宋" w:hAnsi="仿宋" w:eastAsia="仿宋" w:cs="仿宋"/>
          <w:i w:val="0"/>
          <w:iCs w:val="0"/>
          <w:color w:val="auto"/>
          <w:sz w:val="21"/>
          <w:szCs w:val="21"/>
          <w:highlight w:val="none"/>
        </w:rPr>
        <w:fldChar w:fldCharType="end"/>
      </w:r>
      <w:r>
        <w:rPr>
          <w:rFonts w:hint="eastAsia" w:ascii="仿宋" w:hAnsi="仿宋" w:eastAsia="仿宋" w:cs="仿宋"/>
          <w:i w:val="0"/>
          <w:iCs w:val="0"/>
          <w:color w:val="auto"/>
          <w:sz w:val="21"/>
          <w:szCs w:val="21"/>
          <w:highlight w:val="none"/>
        </w:rPr>
        <w:fldChar w:fldCharType="end"/>
      </w:r>
    </w:p>
    <w:p w14:paraId="6D6C0FC8">
      <w:pPr>
        <w:pStyle w:val="24"/>
        <w:tabs>
          <w:tab w:val="right" w:leader="dot" w:pos="9638"/>
        </w:tabs>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HYPERLINK \l _Toc22185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rPr>
        <w:t>第六章  响应文件格式</w:t>
      </w:r>
      <w:r>
        <w:rPr>
          <w:rFonts w:hint="eastAsia" w:ascii="仿宋" w:hAnsi="仿宋" w:eastAsia="仿宋" w:cs="仿宋"/>
          <w:i w:val="0"/>
          <w:iCs w:val="0"/>
          <w:color w:val="auto"/>
          <w:sz w:val="21"/>
          <w:szCs w:val="21"/>
          <w:highlight w:val="none"/>
        </w:rPr>
        <w:tab/>
      </w:r>
      <w:r>
        <w:rPr>
          <w:rFonts w:hint="eastAsia" w:ascii="仿宋" w:hAnsi="仿宋" w:eastAsia="仿宋" w:cs="仿宋"/>
          <w:i w:val="0"/>
          <w:iCs w:val="0"/>
          <w:color w:val="auto"/>
          <w:sz w:val="21"/>
          <w:szCs w:val="21"/>
          <w:highlight w:val="none"/>
        </w:rPr>
        <w:fldChar w:fldCharType="begin"/>
      </w:r>
      <w:r>
        <w:rPr>
          <w:rFonts w:hint="eastAsia" w:ascii="仿宋" w:hAnsi="仿宋" w:eastAsia="仿宋" w:cs="仿宋"/>
          <w:i w:val="0"/>
          <w:iCs w:val="0"/>
          <w:color w:val="auto"/>
          <w:sz w:val="21"/>
          <w:szCs w:val="21"/>
          <w:highlight w:val="none"/>
        </w:rPr>
        <w:instrText xml:space="preserve"> PAGEREF _Toc22185 \h </w:instrText>
      </w:r>
      <w:r>
        <w:rPr>
          <w:rFonts w:hint="eastAsia" w:ascii="仿宋" w:hAnsi="仿宋" w:eastAsia="仿宋" w:cs="仿宋"/>
          <w:i w:val="0"/>
          <w:iCs w:val="0"/>
          <w:color w:val="auto"/>
          <w:sz w:val="21"/>
          <w:szCs w:val="21"/>
          <w:highlight w:val="none"/>
        </w:rPr>
        <w:fldChar w:fldCharType="separate"/>
      </w:r>
      <w:r>
        <w:rPr>
          <w:rFonts w:hint="eastAsia" w:ascii="仿宋" w:hAnsi="仿宋" w:eastAsia="仿宋" w:cs="仿宋"/>
          <w:i w:val="0"/>
          <w:iCs w:val="0"/>
          <w:color w:val="auto"/>
          <w:sz w:val="21"/>
          <w:szCs w:val="21"/>
          <w:highlight w:val="none"/>
        </w:rPr>
        <w:t>44</w:t>
      </w:r>
      <w:r>
        <w:rPr>
          <w:rFonts w:hint="eastAsia" w:ascii="仿宋" w:hAnsi="仿宋" w:eastAsia="仿宋" w:cs="仿宋"/>
          <w:i w:val="0"/>
          <w:iCs w:val="0"/>
          <w:color w:val="auto"/>
          <w:sz w:val="21"/>
          <w:szCs w:val="21"/>
          <w:highlight w:val="none"/>
        </w:rPr>
        <w:fldChar w:fldCharType="end"/>
      </w:r>
      <w:r>
        <w:rPr>
          <w:rFonts w:hint="eastAsia" w:ascii="仿宋" w:hAnsi="仿宋" w:eastAsia="仿宋" w:cs="仿宋"/>
          <w:i w:val="0"/>
          <w:iCs w:val="0"/>
          <w:color w:val="auto"/>
          <w:sz w:val="21"/>
          <w:szCs w:val="21"/>
          <w:highlight w:val="none"/>
        </w:rPr>
        <w:fldChar w:fldCharType="end"/>
      </w:r>
    </w:p>
    <w:p w14:paraId="5D43AC99">
      <w:pPr>
        <w:jc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z w:val="21"/>
          <w:szCs w:val="21"/>
          <w:highlight w:val="none"/>
        </w:rPr>
        <w:fldChar w:fldCharType="end"/>
      </w:r>
      <w:r>
        <w:rPr>
          <w:rFonts w:hint="eastAsia" w:ascii="仿宋" w:hAnsi="仿宋" w:eastAsia="仿宋" w:cs="仿宋"/>
          <w:i w:val="0"/>
          <w:iCs w:val="0"/>
          <w:color w:val="auto"/>
          <w:sz w:val="21"/>
          <w:szCs w:val="21"/>
          <w:highlight w:val="none"/>
        </w:rPr>
        <w:br w:type="page"/>
      </w:r>
    </w:p>
    <w:p w14:paraId="643456F0">
      <w:pPr>
        <w:pStyle w:val="3"/>
        <w:rPr>
          <w:color w:val="auto"/>
          <w:highlight w:val="none"/>
        </w:rPr>
      </w:pPr>
      <w:bookmarkStart w:id="0" w:name="_Toc501460631"/>
      <w:bookmarkStart w:id="1" w:name="_Toc152042287"/>
      <w:bookmarkStart w:id="2" w:name="_Toc152045511"/>
      <w:bookmarkStart w:id="3" w:name="_Toc144974479"/>
    </w:p>
    <w:p w14:paraId="73D42026">
      <w:pPr>
        <w:widowControl/>
        <w:jc w:val="left"/>
        <w:rPr>
          <w:rFonts w:cs="黑体" w:asciiTheme="majorEastAsia" w:hAnsiTheme="majorEastAsia" w:eastAsiaTheme="majorEastAsia"/>
          <w:color w:val="auto"/>
          <w:sz w:val="72"/>
          <w:szCs w:val="72"/>
          <w:highlight w:val="none"/>
        </w:rPr>
      </w:pPr>
    </w:p>
    <w:p w14:paraId="0BB5BB38">
      <w:pPr>
        <w:widowControl/>
        <w:jc w:val="left"/>
        <w:rPr>
          <w:rFonts w:cs="黑体" w:asciiTheme="majorEastAsia" w:hAnsiTheme="majorEastAsia" w:eastAsiaTheme="majorEastAsia"/>
          <w:color w:val="auto"/>
          <w:sz w:val="72"/>
          <w:szCs w:val="72"/>
          <w:highlight w:val="none"/>
        </w:rPr>
      </w:pPr>
    </w:p>
    <w:p w14:paraId="2749A07B">
      <w:pPr>
        <w:widowControl/>
        <w:spacing w:line="360" w:lineRule="auto"/>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第一章  询比采购公告</w:t>
      </w:r>
    </w:p>
    <w:p w14:paraId="1B9AEBFF">
      <w:pPr>
        <w:widowControl/>
        <w:spacing w:line="360" w:lineRule="auto"/>
        <w:jc w:val="center"/>
        <w:rPr>
          <w:rFonts w:hint="eastAsia" w:ascii="仿宋" w:hAnsi="仿宋" w:eastAsia="仿宋" w:cs="仿宋"/>
          <w:b/>
          <w:color w:val="auto"/>
          <w:sz w:val="32"/>
          <w:szCs w:val="32"/>
          <w:highlight w:val="none"/>
        </w:rPr>
      </w:pPr>
    </w:p>
    <w:p w14:paraId="2734DD04">
      <w:pPr>
        <w:widowControl/>
        <w:jc w:val="left"/>
        <w:rPr>
          <w:rFonts w:cs="黑体" w:asciiTheme="majorEastAsia" w:hAnsiTheme="majorEastAsia" w:eastAsiaTheme="majorEastAsia"/>
          <w:color w:val="auto"/>
          <w:sz w:val="72"/>
          <w:szCs w:val="72"/>
          <w:highlight w:val="none"/>
        </w:rPr>
      </w:pPr>
      <w:r>
        <w:rPr>
          <w:rFonts w:cs="黑体" w:asciiTheme="majorEastAsia" w:hAnsiTheme="majorEastAsia" w:eastAsiaTheme="majorEastAsia"/>
          <w:color w:val="auto"/>
          <w:sz w:val="72"/>
          <w:szCs w:val="72"/>
          <w:highlight w:val="none"/>
        </w:rPr>
        <w:br w:type="page"/>
      </w:r>
    </w:p>
    <w:p w14:paraId="42CFD21F">
      <w:pPr>
        <w:pStyle w:val="4"/>
        <w:spacing w:line="240" w:lineRule="auto"/>
        <w:jc w:val="center"/>
        <w:rPr>
          <w:rFonts w:hint="eastAsia" w:ascii="仿宋" w:hAnsi="仿宋" w:eastAsia="仿宋" w:cs="仿宋"/>
          <w:color w:val="auto"/>
          <w:highlight w:val="none"/>
        </w:rPr>
      </w:pPr>
      <w:bookmarkStart w:id="4" w:name="_Toc27693"/>
      <w:r>
        <w:rPr>
          <w:rFonts w:hint="eastAsia" w:ascii="仿宋" w:hAnsi="仿宋" w:eastAsia="仿宋" w:cs="仿宋"/>
          <w:color w:val="auto"/>
          <w:highlight w:val="none"/>
        </w:rPr>
        <w:t>第一章  询比采购公告</w:t>
      </w:r>
      <w:bookmarkEnd w:id="0"/>
      <w:bookmarkEnd w:id="4"/>
    </w:p>
    <w:p w14:paraId="5149F836">
      <w:pPr>
        <w:spacing w:line="440" w:lineRule="exact"/>
        <w:jc w:val="center"/>
        <w:rPr>
          <w:rFonts w:hint="eastAsia" w:ascii="仿宋" w:hAnsi="仿宋" w:eastAsia="仿宋" w:cs="仿宋"/>
          <w:color w:val="auto"/>
          <w:sz w:val="28"/>
          <w:szCs w:val="28"/>
          <w:highlight w:val="none"/>
        </w:rPr>
      </w:pPr>
      <w:bookmarkStart w:id="5" w:name="_Toc501460633"/>
      <w:r>
        <w:rPr>
          <w:rFonts w:hint="eastAsia" w:ascii="仿宋" w:hAnsi="仿宋" w:eastAsia="仿宋" w:cs="仿宋"/>
          <w:b/>
          <w:bCs/>
          <w:color w:val="auto"/>
          <w:sz w:val="28"/>
          <w:szCs w:val="28"/>
          <w:highlight w:val="none"/>
          <w:lang w:val="en-US" w:eastAsia="zh-CN"/>
        </w:rPr>
        <w:t>安徽万丰祥餐饮经营管理有限公司食材配送服务入围采购项目询比</w:t>
      </w:r>
      <w:r>
        <w:rPr>
          <w:rFonts w:hint="eastAsia" w:ascii="仿宋" w:hAnsi="仿宋" w:eastAsia="仿宋" w:cs="仿宋"/>
          <w:b/>
          <w:bCs/>
          <w:color w:val="auto"/>
          <w:sz w:val="28"/>
          <w:szCs w:val="28"/>
          <w:highlight w:val="none"/>
        </w:rPr>
        <w:t>采购公告</w:t>
      </w:r>
    </w:p>
    <w:bookmarkEnd w:id="5"/>
    <w:p w14:paraId="4031B5BC">
      <w:pPr>
        <w:pStyle w:val="5"/>
        <w:spacing w:line="240" w:lineRule="auto"/>
        <w:rPr>
          <w:rFonts w:hint="eastAsia" w:ascii="仿宋" w:hAnsi="仿宋" w:eastAsia="仿宋" w:cs="仿宋"/>
          <w:color w:val="auto"/>
          <w:highlight w:val="none"/>
        </w:rPr>
      </w:pPr>
      <w:bookmarkStart w:id="6" w:name="_Toc501460632"/>
      <w:bookmarkStart w:id="7" w:name="_Toc23484"/>
      <w:bookmarkStart w:id="8" w:name="_Toc23359"/>
      <w:bookmarkStart w:id="9" w:name="_Toc501460634"/>
      <w:bookmarkStart w:id="10" w:name="_Toc8628"/>
      <w:bookmarkStart w:id="11" w:name="_Toc501460653"/>
      <w:r>
        <w:rPr>
          <w:rFonts w:hint="eastAsia" w:ascii="仿宋" w:hAnsi="仿宋" w:eastAsia="仿宋" w:cs="仿宋"/>
          <w:color w:val="auto"/>
          <w:highlight w:val="none"/>
        </w:rPr>
        <w:t>1. 采购项目简介</w:t>
      </w:r>
      <w:bookmarkEnd w:id="6"/>
      <w:bookmarkEnd w:id="7"/>
      <w:bookmarkEnd w:id="8"/>
    </w:p>
    <w:p w14:paraId="42FEA074">
      <w:pPr>
        <w:spacing w:line="400" w:lineRule="exact"/>
        <w:ind w:firstLine="480" w:firstLineChars="200"/>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1.1 采购项目名称：</w:t>
      </w:r>
      <w:r>
        <w:rPr>
          <w:rFonts w:hint="eastAsia" w:ascii="仿宋" w:hAnsi="仿宋" w:eastAsia="仿宋" w:cs="仿宋"/>
          <w:color w:val="auto"/>
          <w:sz w:val="24"/>
          <w:szCs w:val="24"/>
          <w:highlight w:val="none"/>
          <w:lang w:eastAsia="zh-CN"/>
        </w:rPr>
        <w:t>安徽万丰祥餐饮经营管理有限公司</w:t>
      </w:r>
      <w:r>
        <w:rPr>
          <w:rFonts w:hint="eastAsia" w:ascii="仿宋" w:hAnsi="仿宋" w:eastAsia="仿宋" w:cs="仿宋"/>
          <w:color w:val="auto"/>
          <w:sz w:val="24"/>
          <w:szCs w:val="24"/>
          <w:highlight w:val="none"/>
        </w:rPr>
        <w:t>食材配送服务入围采购项目</w:t>
      </w:r>
    </w:p>
    <w:p w14:paraId="495EE565">
      <w:pPr>
        <w:spacing w:line="400" w:lineRule="exact"/>
        <w:ind w:firstLine="480" w:firstLineChars="200"/>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1.2 采购人：</w:t>
      </w:r>
      <w:r>
        <w:rPr>
          <w:rFonts w:hint="eastAsia" w:ascii="仿宋" w:hAnsi="仿宋" w:eastAsia="仿宋" w:cs="仿宋"/>
          <w:color w:val="auto"/>
          <w:sz w:val="24"/>
          <w:szCs w:val="24"/>
          <w:highlight w:val="none"/>
          <w:lang w:eastAsia="zh-CN"/>
        </w:rPr>
        <w:t>安徽万丰祥餐饮经营管理有限公司</w:t>
      </w:r>
    </w:p>
    <w:p w14:paraId="3B2F8CC3">
      <w:pPr>
        <w:spacing w:line="400" w:lineRule="exact"/>
        <w:ind w:firstLine="480" w:firstLineChars="200"/>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 xml:space="preserve"> 采购项目资金落实情况：</w:t>
      </w:r>
      <w:r>
        <w:rPr>
          <w:rFonts w:hint="eastAsia" w:ascii="仿宋" w:hAnsi="仿宋" w:eastAsia="仿宋" w:cs="仿宋"/>
          <w:color w:val="auto"/>
          <w:sz w:val="24"/>
          <w:szCs w:val="24"/>
          <w:highlight w:val="none"/>
          <w:u w:val="none"/>
          <w:lang w:val="en-US" w:eastAsia="zh-CN"/>
        </w:rPr>
        <w:t>已落实</w:t>
      </w:r>
    </w:p>
    <w:p w14:paraId="65CA601E">
      <w:pPr>
        <w:spacing w:line="400" w:lineRule="exact"/>
        <w:ind w:firstLine="480" w:firstLineChars="200"/>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 xml:space="preserve"> 采购项目</w:t>
      </w:r>
      <w:r>
        <w:rPr>
          <w:rFonts w:hint="eastAsia" w:ascii="仿宋" w:hAnsi="仿宋" w:eastAsia="仿宋" w:cs="仿宋"/>
          <w:color w:val="auto"/>
          <w:sz w:val="24"/>
          <w:szCs w:val="24"/>
          <w:highlight w:val="none"/>
          <w:lang w:val="en-US" w:eastAsia="zh-CN"/>
        </w:rPr>
        <w:t>编号</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WFX20260514</w:t>
      </w:r>
    </w:p>
    <w:p w14:paraId="7C9EE366">
      <w:pPr>
        <w:spacing w:line="400" w:lineRule="exact"/>
        <w:ind w:firstLine="480" w:firstLineChars="200"/>
        <w:rPr>
          <w:rFonts w:hint="default"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1.5 采购包划分：</w:t>
      </w:r>
      <w:r>
        <w:rPr>
          <w:rFonts w:hint="eastAsia" w:ascii="仿宋" w:hAnsi="仿宋" w:eastAsia="仿宋" w:cs="仿宋"/>
          <w:color w:val="auto"/>
          <w:sz w:val="24"/>
          <w:szCs w:val="24"/>
          <w:highlight w:val="none"/>
          <w:u w:val="none"/>
          <w:lang w:val="en-US" w:eastAsia="zh-CN"/>
        </w:rPr>
        <w:t>6个标包</w:t>
      </w:r>
    </w:p>
    <w:p w14:paraId="6C92A575">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成交供应商数量：</w:t>
      </w:r>
    </w:p>
    <w:p w14:paraId="6FED5287">
      <w:pPr>
        <w:adjustRightInd w:val="0"/>
        <w:snapToGrid w:val="0"/>
        <w:spacing w:line="400" w:lineRule="exact"/>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第</w:t>
      </w:r>
      <w:r>
        <w:rPr>
          <w:rFonts w:hint="eastAsia" w:ascii="仿宋" w:hAnsi="仿宋" w:eastAsia="仿宋" w:cs="仿宋"/>
          <w:color w:val="auto"/>
          <w:sz w:val="24"/>
          <w:szCs w:val="24"/>
          <w:highlight w:val="none"/>
          <w:u w:val="single"/>
          <w:lang w:val="en-US" w:eastAsia="zh-CN"/>
        </w:rPr>
        <w:t xml:space="preserve"> 01 </w:t>
      </w:r>
      <w:r>
        <w:rPr>
          <w:rFonts w:hint="eastAsia" w:ascii="仿宋" w:hAnsi="仿宋" w:eastAsia="仿宋" w:cs="仿宋"/>
          <w:color w:val="auto"/>
          <w:sz w:val="24"/>
          <w:szCs w:val="24"/>
          <w:highlight w:val="none"/>
          <w:u w:val="none"/>
          <w:lang w:val="en-US" w:eastAsia="zh-CN"/>
        </w:rPr>
        <w:t>采购包</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14</w:t>
      </w:r>
      <w:r>
        <w:rPr>
          <w:rFonts w:hint="eastAsia" w:ascii="仿宋" w:hAnsi="仿宋" w:eastAsia="仿宋" w:cs="仿宋"/>
          <w:color w:val="auto"/>
          <w:sz w:val="24"/>
          <w:szCs w:val="24"/>
          <w:highlight w:val="none"/>
        </w:rPr>
        <w:t>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（2）第</w:t>
      </w:r>
      <w:r>
        <w:rPr>
          <w:rFonts w:hint="eastAsia" w:ascii="仿宋" w:hAnsi="仿宋" w:eastAsia="仿宋" w:cs="仿宋"/>
          <w:color w:val="auto"/>
          <w:sz w:val="24"/>
          <w:szCs w:val="24"/>
          <w:highlight w:val="none"/>
          <w:u w:val="single"/>
          <w:lang w:val="en-US" w:eastAsia="zh-CN"/>
        </w:rPr>
        <w:t xml:space="preserve"> 02 </w:t>
      </w:r>
      <w:r>
        <w:rPr>
          <w:rFonts w:hint="eastAsia" w:ascii="仿宋" w:hAnsi="仿宋" w:eastAsia="仿宋" w:cs="仿宋"/>
          <w:color w:val="auto"/>
          <w:sz w:val="24"/>
          <w:szCs w:val="24"/>
          <w:highlight w:val="none"/>
          <w:u w:val="none"/>
          <w:lang w:val="en-US" w:eastAsia="zh-CN"/>
        </w:rPr>
        <w:t>采购包</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14</w:t>
      </w:r>
      <w:r>
        <w:rPr>
          <w:rFonts w:hint="eastAsia" w:ascii="仿宋" w:hAnsi="仿宋" w:eastAsia="仿宋" w:cs="仿宋"/>
          <w:color w:val="auto"/>
          <w:sz w:val="24"/>
          <w:szCs w:val="24"/>
          <w:highlight w:val="none"/>
        </w:rPr>
        <w:t>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（3）第</w:t>
      </w:r>
      <w:r>
        <w:rPr>
          <w:rFonts w:hint="eastAsia" w:ascii="仿宋" w:hAnsi="仿宋" w:eastAsia="仿宋" w:cs="仿宋"/>
          <w:color w:val="auto"/>
          <w:sz w:val="24"/>
          <w:szCs w:val="24"/>
          <w:highlight w:val="none"/>
          <w:u w:val="single"/>
          <w:lang w:val="en-US" w:eastAsia="zh-CN"/>
        </w:rPr>
        <w:t xml:space="preserve"> 03 </w:t>
      </w:r>
      <w:r>
        <w:rPr>
          <w:rFonts w:hint="eastAsia" w:ascii="仿宋" w:hAnsi="仿宋" w:eastAsia="仿宋" w:cs="仿宋"/>
          <w:color w:val="auto"/>
          <w:sz w:val="24"/>
          <w:szCs w:val="24"/>
          <w:highlight w:val="none"/>
          <w:u w:val="none"/>
          <w:lang w:val="en-US" w:eastAsia="zh-CN"/>
        </w:rPr>
        <w:t>采购包</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14</w:t>
      </w:r>
      <w:r>
        <w:rPr>
          <w:rFonts w:hint="eastAsia" w:ascii="仿宋" w:hAnsi="仿宋" w:eastAsia="仿宋" w:cs="仿宋"/>
          <w:color w:val="auto"/>
          <w:sz w:val="24"/>
          <w:szCs w:val="24"/>
          <w:highlight w:val="none"/>
        </w:rPr>
        <w:t>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第</w:t>
      </w:r>
      <w:r>
        <w:rPr>
          <w:rFonts w:hint="eastAsia" w:ascii="仿宋" w:hAnsi="仿宋" w:eastAsia="仿宋" w:cs="仿宋"/>
          <w:color w:val="auto"/>
          <w:sz w:val="24"/>
          <w:szCs w:val="24"/>
          <w:highlight w:val="none"/>
          <w:u w:val="single"/>
          <w:lang w:val="en-US" w:eastAsia="zh-CN"/>
        </w:rPr>
        <w:t xml:space="preserve"> 04 </w:t>
      </w:r>
      <w:r>
        <w:rPr>
          <w:rFonts w:hint="eastAsia" w:ascii="仿宋" w:hAnsi="仿宋" w:eastAsia="仿宋" w:cs="仿宋"/>
          <w:color w:val="auto"/>
          <w:sz w:val="24"/>
          <w:szCs w:val="24"/>
          <w:highlight w:val="none"/>
          <w:u w:val="none"/>
          <w:lang w:val="en-US" w:eastAsia="zh-CN"/>
        </w:rPr>
        <w:t>采购包</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16</w:t>
      </w:r>
      <w:r>
        <w:rPr>
          <w:rFonts w:hint="eastAsia" w:ascii="仿宋" w:hAnsi="仿宋" w:eastAsia="仿宋" w:cs="仿宋"/>
          <w:color w:val="auto"/>
          <w:sz w:val="24"/>
          <w:szCs w:val="24"/>
          <w:highlight w:val="none"/>
        </w:rPr>
        <w:t>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第</w:t>
      </w:r>
      <w:r>
        <w:rPr>
          <w:rFonts w:hint="eastAsia" w:ascii="仿宋" w:hAnsi="仿宋" w:eastAsia="仿宋" w:cs="仿宋"/>
          <w:color w:val="auto"/>
          <w:sz w:val="24"/>
          <w:szCs w:val="24"/>
          <w:highlight w:val="none"/>
          <w:u w:val="single"/>
          <w:lang w:val="en-US" w:eastAsia="zh-CN"/>
        </w:rPr>
        <w:t xml:space="preserve"> 05 </w:t>
      </w:r>
      <w:r>
        <w:rPr>
          <w:rFonts w:hint="eastAsia" w:ascii="仿宋" w:hAnsi="仿宋" w:eastAsia="仿宋" w:cs="仿宋"/>
          <w:color w:val="auto"/>
          <w:sz w:val="24"/>
          <w:szCs w:val="24"/>
          <w:highlight w:val="none"/>
          <w:u w:val="none"/>
          <w:lang w:val="en-US" w:eastAsia="zh-CN"/>
        </w:rPr>
        <w:t>采购包</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14</w:t>
      </w:r>
      <w:r>
        <w:rPr>
          <w:rFonts w:hint="eastAsia" w:ascii="仿宋" w:hAnsi="仿宋" w:eastAsia="仿宋" w:cs="仿宋"/>
          <w:color w:val="auto"/>
          <w:sz w:val="24"/>
          <w:szCs w:val="24"/>
          <w:highlight w:val="none"/>
        </w:rPr>
        <w:t>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第</w:t>
      </w:r>
      <w:r>
        <w:rPr>
          <w:rFonts w:hint="eastAsia" w:ascii="仿宋" w:hAnsi="仿宋" w:eastAsia="仿宋" w:cs="仿宋"/>
          <w:color w:val="auto"/>
          <w:sz w:val="24"/>
          <w:szCs w:val="24"/>
          <w:highlight w:val="none"/>
          <w:u w:val="single"/>
          <w:lang w:val="en-US" w:eastAsia="zh-CN"/>
        </w:rPr>
        <w:t xml:space="preserve"> 06 </w:t>
      </w:r>
      <w:r>
        <w:rPr>
          <w:rFonts w:hint="eastAsia" w:ascii="仿宋" w:hAnsi="仿宋" w:eastAsia="仿宋" w:cs="仿宋"/>
          <w:color w:val="auto"/>
          <w:sz w:val="24"/>
          <w:szCs w:val="24"/>
          <w:highlight w:val="none"/>
          <w:u w:val="none"/>
          <w:lang w:val="en-US" w:eastAsia="zh-CN"/>
        </w:rPr>
        <w:t>采购包</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12</w:t>
      </w:r>
      <w:r>
        <w:rPr>
          <w:rFonts w:hint="eastAsia" w:ascii="仿宋" w:hAnsi="仿宋" w:eastAsia="仿宋" w:cs="仿宋"/>
          <w:color w:val="auto"/>
          <w:sz w:val="24"/>
          <w:szCs w:val="24"/>
          <w:highlight w:val="none"/>
        </w:rPr>
        <w:t>家</w:t>
      </w:r>
      <w:r>
        <w:rPr>
          <w:rFonts w:hint="eastAsia" w:ascii="仿宋" w:hAnsi="仿宋" w:eastAsia="仿宋" w:cs="仿宋"/>
          <w:color w:val="auto"/>
          <w:sz w:val="24"/>
          <w:szCs w:val="24"/>
          <w:highlight w:val="none"/>
          <w:lang w:eastAsia="zh-CN"/>
        </w:rPr>
        <w:t>；</w:t>
      </w:r>
    </w:p>
    <w:bookmarkEnd w:id="9"/>
    <w:bookmarkEnd w:id="10"/>
    <w:bookmarkEnd w:id="11"/>
    <w:p w14:paraId="07B704E7">
      <w:pPr>
        <w:pStyle w:val="5"/>
        <w:numPr>
          <w:ilvl w:val="0"/>
          <w:numId w:val="0"/>
        </w:numPr>
        <w:spacing w:line="360" w:lineRule="auto"/>
        <w:ind w:leftChars="0"/>
        <w:rPr>
          <w:rFonts w:hint="eastAsia" w:ascii="Times New Roman" w:hAnsi="Times New Roman" w:eastAsia="仿宋" w:cs="Times New Roman"/>
          <w:color w:val="auto"/>
          <w:highlight w:val="none"/>
          <w:lang w:val="en-US" w:eastAsia="zh-CN"/>
        </w:rPr>
      </w:pPr>
      <w:bookmarkStart w:id="12" w:name="_Toc15646"/>
      <w:bookmarkStart w:id="13" w:name="_Toc1141"/>
      <w:bookmarkStart w:id="14" w:name="_Toc30210"/>
      <w:bookmarkStart w:id="15" w:name="_Toc13326"/>
      <w:bookmarkStart w:id="16" w:name="_Toc7098"/>
      <w:bookmarkStart w:id="17" w:name="_Toc9254"/>
      <w:bookmarkStart w:id="18" w:name="_Toc151393373"/>
      <w:bookmarkStart w:id="19" w:name="_Toc27331"/>
      <w:bookmarkStart w:id="20" w:name="_Toc7478"/>
      <w:bookmarkStart w:id="21" w:name="_Toc7114"/>
      <w:bookmarkStart w:id="22" w:name="_Toc501460635"/>
      <w:r>
        <w:rPr>
          <w:rFonts w:hint="eastAsia" w:ascii="Times New Roman" w:hAnsi="Times New Roman" w:eastAsia="仿宋" w:cs="Times New Roman"/>
          <w:color w:val="auto"/>
          <w:highlight w:val="none"/>
          <w:lang w:val="en-US" w:eastAsia="zh-CN"/>
        </w:rPr>
        <w:t xml:space="preserve">2. </w:t>
      </w:r>
      <w:bookmarkStart w:id="23" w:name="_Toc18593"/>
      <w:r>
        <w:rPr>
          <w:rFonts w:hint="eastAsia" w:ascii="Times New Roman" w:hAnsi="Times New Roman" w:eastAsia="仿宋" w:cs="Times New Roman"/>
          <w:color w:val="auto"/>
          <w:highlight w:val="none"/>
          <w:lang w:val="en-US" w:eastAsia="zh-CN"/>
        </w:rPr>
        <w:t>项目概况与采购范围</w:t>
      </w:r>
      <w:bookmarkEnd w:id="12"/>
      <w:bookmarkEnd w:id="13"/>
      <w:bookmarkEnd w:id="14"/>
      <w:bookmarkEnd w:id="15"/>
      <w:bookmarkEnd w:id="16"/>
      <w:bookmarkEnd w:id="17"/>
      <w:bookmarkEnd w:id="18"/>
      <w:bookmarkEnd w:id="19"/>
      <w:bookmarkEnd w:id="20"/>
      <w:bookmarkEnd w:id="23"/>
    </w:p>
    <w:p w14:paraId="032FF87F">
      <w:pPr>
        <w:spacing w:line="360" w:lineRule="auto"/>
        <w:ind w:firstLine="480" w:firstLineChars="200"/>
        <w:rPr>
          <w:rFonts w:hint="default" w:ascii="仿宋" w:hAnsi="仿宋" w:eastAsia="仿宋" w:cs="仿宋"/>
          <w:color w:val="auto"/>
          <w:sz w:val="24"/>
          <w:szCs w:val="24"/>
          <w:highlight w:val="none"/>
          <w:lang w:val="en-US" w:eastAsia="zh-CN"/>
        </w:rPr>
      </w:pPr>
      <w:bookmarkStart w:id="24" w:name="_Toc15916"/>
      <w:bookmarkStart w:id="25" w:name="_Toc17422"/>
      <w:bookmarkStart w:id="26" w:name="_Toc7298"/>
      <w:bookmarkStart w:id="27" w:name="_Toc151393374"/>
      <w:bookmarkStart w:id="28" w:name="_Toc14482"/>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 xml:space="preserve"> </w:t>
      </w:r>
      <w:r>
        <w:rPr>
          <w:rFonts w:hint="eastAsia" w:ascii="Times New Roman" w:hAnsi="Times New Roman" w:eastAsia="仿宋" w:cs="Times New Roman"/>
          <w:color w:val="auto"/>
          <w:sz w:val="24"/>
          <w:szCs w:val="24"/>
          <w:highlight w:val="none"/>
          <w:lang w:eastAsia="zh-CN"/>
        </w:rPr>
        <w:t>采购</w:t>
      </w:r>
      <w:r>
        <w:rPr>
          <w:rFonts w:hint="eastAsia" w:ascii="Times New Roman" w:hAnsi="Times New Roman" w:eastAsia="仿宋" w:cs="Times New Roman"/>
          <w:color w:val="auto"/>
          <w:sz w:val="24"/>
          <w:szCs w:val="24"/>
          <w:highlight w:val="none"/>
        </w:rPr>
        <w:t>范围：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第</w:t>
      </w:r>
      <w:r>
        <w:rPr>
          <w:rFonts w:hint="eastAsia" w:ascii="仿宋" w:hAnsi="仿宋" w:eastAsia="仿宋" w:cs="仿宋"/>
          <w:color w:val="auto"/>
          <w:sz w:val="24"/>
          <w:szCs w:val="24"/>
          <w:highlight w:val="none"/>
          <w:u w:val="single"/>
          <w:lang w:val="en-US" w:eastAsia="zh-CN"/>
        </w:rPr>
        <w:t xml:space="preserve"> 01 </w:t>
      </w:r>
      <w:r>
        <w:rPr>
          <w:rFonts w:hint="eastAsia" w:ascii="仿宋" w:hAnsi="仿宋" w:eastAsia="仿宋" w:cs="仿宋"/>
          <w:color w:val="auto"/>
          <w:sz w:val="24"/>
          <w:szCs w:val="24"/>
          <w:highlight w:val="none"/>
          <w:u w:val="none"/>
          <w:lang w:val="en-US" w:eastAsia="zh-CN"/>
        </w:rPr>
        <w:t>采购包</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米面油类</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（2）第</w:t>
      </w:r>
      <w:r>
        <w:rPr>
          <w:rFonts w:hint="eastAsia" w:ascii="仿宋" w:hAnsi="仿宋" w:eastAsia="仿宋" w:cs="仿宋"/>
          <w:color w:val="auto"/>
          <w:sz w:val="24"/>
          <w:szCs w:val="24"/>
          <w:highlight w:val="none"/>
          <w:u w:val="single"/>
          <w:lang w:val="en-US" w:eastAsia="zh-CN"/>
        </w:rPr>
        <w:t xml:space="preserve"> 02 </w:t>
      </w:r>
      <w:r>
        <w:rPr>
          <w:rFonts w:hint="eastAsia" w:ascii="仿宋" w:hAnsi="仿宋" w:eastAsia="仿宋" w:cs="仿宋"/>
          <w:color w:val="auto"/>
          <w:sz w:val="24"/>
          <w:szCs w:val="24"/>
          <w:highlight w:val="none"/>
          <w:u w:val="none"/>
          <w:lang w:val="en-US" w:eastAsia="zh-CN"/>
        </w:rPr>
        <w:t>采购包</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冻品、调理半成品类</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（3）第</w:t>
      </w:r>
      <w:r>
        <w:rPr>
          <w:rFonts w:hint="eastAsia" w:ascii="仿宋" w:hAnsi="仿宋" w:eastAsia="仿宋" w:cs="仿宋"/>
          <w:color w:val="auto"/>
          <w:sz w:val="24"/>
          <w:szCs w:val="24"/>
          <w:highlight w:val="none"/>
          <w:u w:val="single"/>
          <w:lang w:val="en-US" w:eastAsia="zh-CN"/>
        </w:rPr>
        <w:t xml:space="preserve"> 03 </w:t>
      </w:r>
      <w:r>
        <w:rPr>
          <w:rFonts w:hint="eastAsia" w:ascii="仿宋" w:hAnsi="仿宋" w:eastAsia="仿宋" w:cs="仿宋"/>
          <w:color w:val="auto"/>
          <w:sz w:val="24"/>
          <w:szCs w:val="24"/>
          <w:highlight w:val="none"/>
          <w:u w:val="none"/>
          <w:lang w:val="en-US" w:eastAsia="zh-CN"/>
        </w:rPr>
        <w:t>采购包</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蔬菜类</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第</w:t>
      </w:r>
      <w:r>
        <w:rPr>
          <w:rFonts w:hint="eastAsia" w:ascii="仿宋" w:hAnsi="仿宋" w:eastAsia="仿宋" w:cs="仿宋"/>
          <w:color w:val="auto"/>
          <w:sz w:val="24"/>
          <w:szCs w:val="24"/>
          <w:highlight w:val="none"/>
          <w:u w:val="single"/>
          <w:lang w:val="en-US" w:eastAsia="zh-CN"/>
        </w:rPr>
        <w:t xml:space="preserve"> 04 </w:t>
      </w:r>
      <w:r>
        <w:rPr>
          <w:rFonts w:hint="eastAsia" w:ascii="仿宋" w:hAnsi="仿宋" w:eastAsia="仿宋" w:cs="仿宋"/>
          <w:color w:val="auto"/>
          <w:sz w:val="24"/>
          <w:szCs w:val="24"/>
          <w:highlight w:val="none"/>
          <w:u w:val="none"/>
          <w:lang w:val="en-US" w:eastAsia="zh-CN"/>
        </w:rPr>
        <w:t>采购包</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鲜肉、家禽类</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第</w:t>
      </w:r>
      <w:r>
        <w:rPr>
          <w:rFonts w:hint="eastAsia" w:ascii="仿宋" w:hAnsi="仿宋" w:eastAsia="仿宋" w:cs="仿宋"/>
          <w:color w:val="auto"/>
          <w:sz w:val="24"/>
          <w:szCs w:val="24"/>
          <w:highlight w:val="none"/>
          <w:u w:val="single"/>
          <w:lang w:val="en-US" w:eastAsia="zh-CN"/>
        </w:rPr>
        <w:t xml:space="preserve"> 05 </w:t>
      </w:r>
      <w:r>
        <w:rPr>
          <w:rFonts w:hint="eastAsia" w:ascii="仿宋" w:hAnsi="仿宋" w:eastAsia="仿宋" w:cs="仿宋"/>
          <w:color w:val="auto"/>
          <w:sz w:val="24"/>
          <w:szCs w:val="24"/>
          <w:highlight w:val="none"/>
          <w:u w:val="none"/>
          <w:lang w:val="en-US" w:eastAsia="zh-CN"/>
        </w:rPr>
        <w:t>采购包</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干货调料类</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第</w:t>
      </w:r>
      <w:r>
        <w:rPr>
          <w:rFonts w:hint="eastAsia" w:ascii="仿宋" w:hAnsi="仿宋" w:eastAsia="仿宋" w:cs="仿宋"/>
          <w:color w:val="auto"/>
          <w:sz w:val="24"/>
          <w:szCs w:val="24"/>
          <w:highlight w:val="none"/>
          <w:u w:val="single"/>
          <w:lang w:val="en-US" w:eastAsia="zh-CN"/>
        </w:rPr>
        <w:t xml:space="preserve"> 06 </w:t>
      </w:r>
      <w:r>
        <w:rPr>
          <w:rFonts w:hint="eastAsia" w:ascii="仿宋" w:hAnsi="仿宋" w:eastAsia="仿宋" w:cs="仿宋"/>
          <w:color w:val="auto"/>
          <w:sz w:val="24"/>
          <w:szCs w:val="24"/>
          <w:highlight w:val="none"/>
          <w:u w:val="none"/>
          <w:lang w:val="en-US" w:eastAsia="zh-CN"/>
        </w:rPr>
        <w:t>采购包</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禽蛋类</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具体详见采购需求</w:t>
      </w:r>
      <w:r>
        <w:rPr>
          <w:rFonts w:hint="eastAsia" w:ascii="仿宋" w:hAnsi="仿宋" w:eastAsia="仿宋" w:cs="仿宋"/>
          <w:color w:val="auto"/>
          <w:sz w:val="24"/>
          <w:szCs w:val="24"/>
          <w:highlight w:val="none"/>
          <w:lang w:eastAsia="zh-CN"/>
        </w:rPr>
        <w:t>）</w:t>
      </w:r>
    </w:p>
    <w:p w14:paraId="29AB110F">
      <w:pPr>
        <w:spacing w:line="360" w:lineRule="auto"/>
        <w:ind w:firstLine="480" w:firstLineChars="200"/>
        <w:rPr>
          <w:rFonts w:hint="default"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 xml:space="preserve"> 服务期限：</w:t>
      </w:r>
      <w:r>
        <w:rPr>
          <w:rFonts w:hint="eastAsia" w:ascii="仿宋" w:hAnsi="仿宋" w:eastAsia="仿宋" w:cs="仿宋"/>
          <w:color w:val="auto"/>
          <w:sz w:val="24"/>
          <w:szCs w:val="24"/>
          <w:highlight w:val="none"/>
          <w:lang w:val="en-US" w:eastAsia="zh-CN"/>
        </w:rPr>
        <w:t>1+1+1年，服务期间进行满意度测评，测评合格，可续签下一年度合同</w:t>
      </w:r>
    </w:p>
    <w:p w14:paraId="33C5D97A">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 xml:space="preserve"> 服务地点：</w:t>
      </w:r>
      <w:r>
        <w:rPr>
          <w:rFonts w:hint="eastAsia" w:ascii="仿宋" w:hAnsi="仿宋" w:eastAsia="仿宋" w:cs="仿宋"/>
          <w:color w:val="auto"/>
          <w:sz w:val="24"/>
          <w:szCs w:val="24"/>
          <w:highlight w:val="none"/>
          <w:lang w:eastAsia="zh-CN"/>
        </w:rPr>
        <w:t>安徽万丰祥餐饮经营管理有限公司</w:t>
      </w:r>
      <w:r>
        <w:rPr>
          <w:rFonts w:hint="eastAsia" w:ascii="仿宋" w:hAnsi="仿宋" w:eastAsia="仿宋" w:cs="仿宋"/>
          <w:color w:val="auto"/>
          <w:sz w:val="24"/>
          <w:szCs w:val="24"/>
          <w:highlight w:val="none"/>
          <w:lang w:val="en-US" w:eastAsia="zh-CN"/>
        </w:rPr>
        <w:t>指定地点</w:t>
      </w:r>
    </w:p>
    <w:p w14:paraId="7DF3F2E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 xml:space="preserve"> 质量要求</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服务标准：</w:t>
      </w:r>
      <w:r>
        <w:rPr>
          <w:rFonts w:hint="eastAsia" w:ascii="仿宋" w:hAnsi="仿宋" w:eastAsia="仿宋" w:cs="仿宋"/>
          <w:color w:val="auto"/>
          <w:sz w:val="24"/>
          <w:szCs w:val="24"/>
          <w:highlight w:val="none"/>
          <w:lang w:val="en-US" w:eastAsia="zh-CN"/>
        </w:rPr>
        <w:t>达到国家食品安全标准及采购人要求</w:t>
      </w:r>
      <w:bookmarkEnd w:id="24"/>
      <w:bookmarkEnd w:id="25"/>
      <w:bookmarkEnd w:id="26"/>
      <w:bookmarkEnd w:id="27"/>
      <w:bookmarkEnd w:id="28"/>
    </w:p>
    <w:p w14:paraId="1F0E4551">
      <w:pPr>
        <w:pStyle w:val="5"/>
        <w:spacing w:line="240" w:lineRule="auto"/>
        <w:rPr>
          <w:rFonts w:hint="eastAsia" w:ascii="仿宋" w:hAnsi="仿宋" w:eastAsia="仿宋" w:cs="仿宋"/>
          <w:color w:val="auto"/>
          <w:highlight w:val="none"/>
        </w:rPr>
      </w:pPr>
      <w:bookmarkStart w:id="29" w:name="_Toc25697"/>
      <w:r>
        <w:rPr>
          <w:rFonts w:hint="eastAsia" w:ascii="仿宋" w:hAnsi="仿宋" w:eastAsia="仿宋" w:cs="仿宋"/>
          <w:color w:val="auto"/>
          <w:highlight w:val="none"/>
        </w:rPr>
        <w:t>3. 供应商资格要求</w:t>
      </w:r>
      <w:bookmarkEnd w:id="21"/>
      <w:bookmarkEnd w:id="29"/>
    </w:p>
    <w:p w14:paraId="57811AA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bCs/>
          <w:snapToGrid w:val="0"/>
          <w:color w:val="auto"/>
          <w:kern w:val="0"/>
          <w:sz w:val="24"/>
          <w:szCs w:val="24"/>
          <w:highlight w:val="none"/>
        </w:rPr>
      </w:pPr>
      <w:r>
        <w:rPr>
          <w:rFonts w:hint="eastAsia" w:ascii="仿宋" w:hAnsi="仿宋" w:eastAsia="仿宋" w:cs="仿宋"/>
          <w:color w:val="auto"/>
          <w:sz w:val="24"/>
          <w:szCs w:val="24"/>
          <w:highlight w:val="none"/>
        </w:rPr>
        <w:t>3.1供应商应依法设立且满足如下要求：</w:t>
      </w:r>
      <w:r>
        <w:rPr>
          <w:rFonts w:hint="eastAsia" w:ascii="仿宋" w:hAnsi="仿宋" w:eastAsia="仿宋" w:cs="仿宋"/>
          <w:bCs/>
          <w:snapToGrid w:val="0"/>
          <w:color w:val="auto"/>
          <w:kern w:val="0"/>
          <w:sz w:val="24"/>
          <w:szCs w:val="24"/>
          <w:highlight w:val="none"/>
          <w:lang w:eastAsia="zh-CN"/>
        </w:rPr>
        <w:t>供应商</w:t>
      </w:r>
      <w:r>
        <w:rPr>
          <w:rFonts w:hint="eastAsia" w:ascii="仿宋" w:hAnsi="仿宋" w:eastAsia="仿宋" w:cs="仿宋"/>
          <w:bCs/>
          <w:snapToGrid w:val="0"/>
          <w:color w:val="auto"/>
          <w:kern w:val="0"/>
          <w:sz w:val="24"/>
          <w:szCs w:val="24"/>
          <w:highlight w:val="none"/>
        </w:rPr>
        <w:t>须具备</w:t>
      </w:r>
      <w:r>
        <w:rPr>
          <w:rFonts w:hint="eastAsia" w:ascii="仿宋" w:hAnsi="仿宋" w:eastAsia="仿宋" w:cs="仿宋"/>
          <w:bCs/>
          <w:snapToGrid w:val="0"/>
          <w:color w:val="auto"/>
          <w:kern w:val="0"/>
          <w:sz w:val="24"/>
          <w:szCs w:val="24"/>
          <w:highlight w:val="none"/>
          <w:lang w:val="en-US" w:eastAsia="zh-CN"/>
        </w:rPr>
        <w:t>独立承担民事责任的能力</w:t>
      </w:r>
      <w:r>
        <w:rPr>
          <w:rFonts w:hint="eastAsia" w:ascii="仿宋" w:hAnsi="仿宋" w:eastAsia="仿宋" w:cs="仿宋"/>
          <w:bCs/>
          <w:snapToGrid w:val="0"/>
          <w:color w:val="auto"/>
          <w:kern w:val="0"/>
          <w:sz w:val="24"/>
          <w:szCs w:val="24"/>
          <w:highlight w:val="none"/>
        </w:rPr>
        <w:t>。</w:t>
      </w:r>
    </w:p>
    <w:p w14:paraId="62751D5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 供应商不得存在第二章供应商须知第</w:t>
      </w:r>
      <w:r>
        <w:rPr>
          <w:rFonts w:hint="eastAsia" w:ascii="仿宋" w:hAnsi="仿宋" w:eastAsia="仿宋" w:cs="仿宋"/>
          <w:color w:val="auto"/>
          <w:sz w:val="24"/>
          <w:szCs w:val="24"/>
          <w:highlight w:val="none"/>
          <w:lang w:val="en-US" w:eastAsia="zh-CN"/>
        </w:rPr>
        <w:t>1.2.2</w:t>
      </w:r>
      <w:r>
        <w:rPr>
          <w:rFonts w:hint="eastAsia" w:ascii="仿宋" w:hAnsi="仿宋" w:eastAsia="仿宋" w:cs="仿宋"/>
          <w:color w:val="auto"/>
          <w:sz w:val="24"/>
          <w:szCs w:val="24"/>
          <w:highlight w:val="none"/>
        </w:rPr>
        <w:t>项、第</w:t>
      </w:r>
      <w:r>
        <w:rPr>
          <w:rFonts w:hint="eastAsia" w:ascii="仿宋" w:hAnsi="仿宋" w:eastAsia="仿宋" w:cs="仿宋"/>
          <w:color w:val="auto"/>
          <w:sz w:val="24"/>
          <w:szCs w:val="24"/>
          <w:highlight w:val="none"/>
          <w:lang w:val="en-US" w:eastAsia="zh-CN"/>
        </w:rPr>
        <w:t>1.2.3</w:t>
      </w:r>
      <w:r>
        <w:rPr>
          <w:rFonts w:hint="eastAsia" w:ascii="仿宋" w:hAnsi="仿宋" w:eastAsia="仿宋" w:cs="仿宋"/>
          <w:color w:val="auto"/>
          <w:sz w:val="24"/>
          <w:szCs w:val="24"/>
          <w:highlight w:val="none"/>
        </w:rPr>
        <w:t>项规定的情形。</w:t>
      </w:r>
    </w:p>
    <w:p w14:paraId="634779EF">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 本次采购不接受联合体。</w:t>
      </w:r>
    </w:p>
    <w:bookmarkEnd w:id="22"/>
    <w:p w14:paraId="42746AB6">
      <w:pPr>
        <w:pStyle w:val="5"/>
        <w:spacing w:line="240" w:lineRule="auto"/>
        <w:rPr>
          <w:rFonts w:hint="eastAsia" w:ascii="仿宋" w:hAnsi="仿宋" w:eastAsia="仿宋" w:cs="仿宋"/>
          <w:color w:val="auto"/>
          <w:highlight w:val="none"/>
        </w:rPr>
      </w:pPr>
      <w:bookmarkStart w:id="30" w:name="_Toc4759"/>
      <w:bookmarkStart w:id="31" w:name="_Toc2663"/>
      <w:r>
        <w:rPr>
          <w:rFonts w:hint="eastAsia" w:ascii="仿宋" w:hAnsi="仿宋" w:eastAsia="仿宋" w:cs="仿宋"/>
          <w:color w:val="auto"/>
          <w:highlight w:val="none"/>
        </w:rPr>
        <w:t>4. 采购文件的获取</w:t>
      </w:r>
      <w:bookmarkEnd w:id="30"/>
      <w:bookmarkEnd w:id="31"/>
    </w:p>
    <w:p w14:paraId="5DFD9E2C">
      <w:pPr>
        <w:tabs>
          <w:tab w:val="left" w:pos="360"/>
        </w:tabs>
        <w:spacing w:line="4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4.1获取时间：</w:t>
      </w:r>
      <w:r>
        <w:rPr>
          <w:rFonts w:hint="eastAsia" w:ascii="仿宋" w:hAnsi="仿宋" w:eastAsia="仿宋"/>
          <w:color w:val="auto"/>
          <w:sz w:val="24"/>
          <w:szCs w:val="24"/>
          <w:highlight w:val="none"/>
          <w:lang w:val="en-US" w:eastAsia="zh-CN"/>
        </w:rPr>
        <w:t>2026年05月15日-2026年06月01日</w:t>
      </w:r>
      <w:r>
        <w:rPr>
          <w:rFonts w:hint="eastAsia" w:ascii="仿宋" w:hAnsi="仿宋" w:eastAsia="仿宋" w:cs="仿宋"/>
          <w:color w:val="auto"/>
          <w:sz w:val="24"/>
          <w:szCs w:val="24"/>
          <w:highlight w:val="none"/>
        </w:rPr>
        <w:t>。</w:t>
      </w:r>
    </w:p>
    <w:p w14:paraId="6730A647">
      <w:pPr>
        <w:tabs>
          <w:tab w:val="left" w:pos="360"/>
        </w:tabs>
        <w:spacing w:line="4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4.2获取方式：</w:t>
      </w:r>
      <w:r>
        <w:rPr>
          <w:rFonts w:hint="eastAsia" w:ascii="仿宋" w:hAnsi="仿宋" w:eastAsia="仿宋" w:cs="仿宋"/>
          <w:bCs/>
          <w:snapToGrid w:val="0"/>
          <w:color w:val="auto"/>
          <w:kern w:val="0"/>
          <w:sz w:val="24"/>
          <w:szCs w:val="24"/>
          <w:highlight w:val="none"/>
        </w:rPr>
        <w:t>凡有意参加</w:t>
      </w:r>
      <w:r>
        <w:rPr>
          <w:rFonts w:hint="eastAsia" w:ascii="仿宋" w:hAnsi="仿宋" w:eastAsia="仿宋" w:cs="仿宋"/>
          <w:bCs/>
          <w:snapToGrid w:val="0"/>
          <w:color w:val="auto"/>
          <w:kern w:val="0"/>
          <w:sz w:val="24"/>
          <w:szCs w:val="24"/>
          <w:highlight w:val="none"/>
          <w:lang w:val="en-US" w:eastAsia="zh-CN"/>
        </w:rPr>
        <w:t>询比活动</w:t>
      </w:r>
      <w:r>
        <w:rPr>
          <w:rFonts w:hint="eastAsia" w:ascii="仿宋" w:hAnsi="仿宋" w:eastAsia="仿宋" w:cs="仿宋"/>
          <w:bCs/>
          <w:snapToGrid w:val="0"/>
          <w:color w:val="auto"/>
          <w:kern w:val="0"/>
          <w:sz w:val="24"/>
          <w:szCs w:val="24"/>
          <w:highlight w:val="none"/>
        </w:rPr>
        <w:t>者，请在第4.1款规定时间内</w:t>
      </w:r>
      <w:r>
        <w:rPr>
          <w:rFonts w:hint="eastAsia" w:ascii="仿宋" w:hAnsi="仿宋" w:eastAsia="仿宋" w:cs="仿宋"/>
          <w:bCs/>
          <w:snapToGrid w:val="0"/>
          <w:color w:val="auto"/>
          <w:kern w:val="0"/>
          <w:sz w:val="24"/>
          <w:szCs w:val="24"/>
          <w:highlight w:val="none"/>
          <w:lang w:val="en-US" w:eastAsia="zh-CN"/>
        </w:rPr>
        <w:t>在安徽万丰祥餐饮经营管理有限公司官网上下载采购文件。</w:t>
      </w:r>
    </w:p>
    <w:p w14:paraId="5F0E8F62">
      <w:pPr>
        <w:spacing w:line="400" w:lineRule="exact"/>
        <w:ind w:firstLine="420" w:firstLineChars="200"/>
        <w:rPr>
          <w:rFonts w:hint="eastAsia" w:ascii="仿宋" w:hAnsi="仿宋" w:eastAsia="仿宋" w:cs="仿宋"/>
          <w:color w:val="auto"/>
          <w:highlight w:val="none"/>
        </w:rPr>
      </w:pPr>
    </w:p>
    <w:p w14:paraId="1AE0DF15">
      <w:pPr>
        <w:pStyle w:val="5"/>
        <w:spacing w:line="240" w:lineRule="auto"/>
        <w:rPr>
          <w:rFonts w:hint="eastAsia" w:ascii="仿宋" w:hAnsi="仿宋" w:eastAsia="仿宋" w:cs="仿宋"/>
          <w:color w:val="auto"/>
          <w:highlight w:val="none"/>
        </w:rPr>
      </w:pPr>
      <w:bookmarkStart w:id="32" w:name="_Toc501460636"/>
      <w:bookmarkStart w:id="33" w:name="_Toc15396"/>
      <w:r>
        <w:rPr>
          <w:rFonts w:hint="eastAsia" w:ascii="仿宋" w:hAnsi="仿宋" w:eastAsia="仿宋" w:cs="仿宋"/>
          <w:color w:val="auto"/>
          <w:highlight w:val="none"/>
        </w:rPr>
        <w:t>5. 响应文件的递交</w:t>
      </w:r>
      <w:bookmarkEnd w:id="32"/>
      <w:bookmarkEnd w:id="33"/>
    </w:p>
    <w:p w14:paraId="2F455325">
      <w:pPr>
        <w:tabs>
          <w:tab w:val="left" w:pos="360"/>
        </w:tabs>
        <w:spacing w:line="400" w:lineRule="exact"/>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5.1</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文件递交截止时间（</w:t>
      </w:r>
      <w:r>
        <w:rPr>
          <w:rFonts w:hint="eastAsia" w:ascii="仿宋" w:hAnsi="仿宋" w:eastAsia="仿宋" w:cs="仿宋"/>
          <w:color w:val="auto"/>
          <w:sz w:val="24"/>
          <w:szCs w:val="24"/>
          <w:highlight w:val="none"/>
          <w:lang w:eastAsia="zh-CN"/>
        </w:rPr>
        <w:t>响应</w:t>
      </w:r>
      <w:r>
        <w:rPr>
          <w:rFonts w:hint="eastAsia" w:ascii="仿宋" w:hAnsi="仿宋" w:eastAsia="仿宋" w:cs="仿宋"/>
          <w:color w:val="auto"/>
          <w:sz w:val="24"/>
          <w:szCs w:val="24"/>
          <w:highlight w:val="none"/>
        </w:rPr>
        <w:t>截止时间，下同）</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none"/>
          <w:lang w:val="en-US" w:eastAsia="zh-CN"/>
        </w:rPr>
        <w:t>2026年06月01日17:00</w:t>
      </w:r>
      <w:r>
        <w:rPr>
          <w:rFonts w:hint="eastAsia" w:ascii="仿宋" w:hAnsi="仿宋" w:eastAsia="仿宋" w:cs="仿宋"/>
          <w:color w:val="auto"/>
          <w:sz w:val="24"/>
          <w:szCs w:val="24"/>
          <w:highlight w:val="none"/>
          <w:lang w:eastAsia="zh-CN"/>
        </w:rPr>
        <w:t>。</w:t>
      </w:r>
    </w:p>
    <w:p w14:paraId="586DCC3E">
      <w:pPr>
        <w:tabs>
          <w:tab w:val="left" w:pos="360"/>
        </w:tabs>
        <w:spacing w:line="400" w:lineRule="exact"/>
        <w:ind w:firstLine="480" w:firstLineChars="200"/>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5.2响应</w:t>
      </w:r>
      <w:r>
        <w:rPr>
          <w:rFonts w:hint="eastAsia" w:ascii="仿宋" w:hAnsi="仿宋" w:eastAsia="仿宋" w:cs="仿宋"/>
          <w:color w:val="auto"/>
          <w:sz w:val="24"/>
          <w:szCs w:val="24"/>
          <w:highlight w:val="none"/>
        </w:rPr>
        <w:t>文件递交</w:t>
      </w:r>
      <w:r>
        <w:rPr>
          <w:rFonts w:hint="eastAsia" w:ascii="仿宋" w:hAnsi="仿宋" w:eastAsia="仿宋" w:cs="仿宋"/>
          <w:color w:val="auto"/>
          <w:sz w:val="24"/>
          <w:szCs w:val="24"/>
          <w:highlight w:val="none"/>
          <w:lang w:val="en-US" w:eastAsia="zh-CN"/>
        </w:rPr>
        <w:t>地点：纸质响应</w:t>
      </w:r>
      <w:r>
        <w:rPr>
          <w:rFonts w:hint="eastAsia" w:ascii="仿宋" w:hAnsi="仿宋" w:eastAsia="仿宋" w:cs="仿宋"/>
          <w:color w:val="auto"/>
          <w:sz w:val="24"/>
          <w:szCs w:val="24"/>
          <w:highlight w:val="none"/>
        </w:rPr>
        <w:t>文件递交</w:t>
      </w:r>
      <w:r>
        <w:rPr>
          <w:rFonts w:hint="eastAsia" w:ascii="仿宋" w:hAnsi="仿宋" w:eastAsia="仿宋" w:cs="仿宋"/>
          <w:color w:val="auto"/>
          <w:sz w:val="24"/>
          <w:szCs w:val="24"/>
          <w:highlight w:val="none"/>
          <w:lang w:val="en-US" w:eastAsia="zh-CN"/>
        </w:rPr>
        <w:t>地点：安徽省合肥市瑶海区中国网谷4号楼4楼安徽万丰祥餐饮经营管理有限公司</w:t>
      </w:r>
      <w:r>
        <w:rPr>
          <w:rFonts w:hint="eastAsia" w:ascii="仿宋" w:hAnsi="仿宋" w:eastAsia="仿宋" w:cs="仿宋"/>
          <w:color w:val="auto"/>
          <w:sz w:val="24"/>
          <w:szCs w:val="24"/>
          <w:highlight w:val="none"/>
          <w:u w:val="none"/>
          <w:lang w:val="en-US" w:eastAsia="zh-CN"/>
        </w:rPr>
        <w:t>。</w:t>
      </w:r>
    </w:p>
    <w:p w14:paraId="115AECB3">
      <w:pPr>
        <w:pStyle w:val="5"/>
        <w:spacing w:line="240" w:lineRule="auto"/>
        <w:rPr>
          <w:rFonts w:hint="eastAsia" w:ascii="仿宋" w:hAnsi="仿宋" w:eastAsia="仿宋" w:cs="仿宋"/>
          <w:color w:val="auto"/>
          <w:highlight w:val="none"/>
        </w:rPr>
      </w:pPr>
      <w:bookmarkStart w:id="34" w:name="_Toc31970"/>
      <w:bookmarkStart w:id="35" w:name="_Toc501460637"/>
      <w:r>
        <w:rPr>
          <w:rFonts w:hint="eastAsia" w:ascii="仿宋" w:hAnsi="仿宋" w:eastAsia="仿宋" w:cs="仿宋"/>
          <w:color w:val="auto"/>
          <w:highlight w:val="none"/>
        </w:rPr>
        <w:t>6. 响应文件开启时间和地点</w:t>
      </w:r>
      <w:bookmarkEnd w:id="34"/>
    </w:p>
    <w:p w14:paraId="79D1CA63">
      <w:pPr>
        <w:spacing w:line="4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所有供应商的法定代表人（单位负责人）或其授权的代理人</w:t>
      </w:r>
      <w:r>
        <w:rPr>
          <w:rFonts w:hint="eastAsia" w:ascii="仿宋" w:hAnsi="仿宋" w:eastAsia="仿宋" w:cs="仿宋"/>
          <w:color w:val="auto"/>
          <w:sz w:val="24"/>
          <w:szCs w:val="24"/>
          <w:highlight w:val="none"/>
          <w:lang w:val="en-US" w:eastAsia="zh-CN"/>
        </w:rPr>
        <w:t>于2026年06月01日17:00前将纸质响应文件递交安徽省合肥市瑶海区中国网谷4号楼4楼安徽万丰祥餐饮经营管理有限公司，由采购人组织人员进行评审</w:t>
      </w:r>
      <w:r>
        <w:rPr>
          <w:rFonts w:hint="eastAsia" w:ascii="仿宋" w:hAnsi="仿宋" w:eastAsia="仿宋" w:cs="仿宋"/>
          <w:color w:val="auto"/>
          <w:sz w:val="24"/>
          <w:szCs w:val="24"/>
          <w:highlight w:val="none"/>
        </w:rPr>
        <w:t>。</w:t>
      </w:r>
    </w:p>
    <w:bookmarkEnd w:id="35"/>
    <w:p w14:paraId="7BE2690B">
      <w:pPr>
        <w:pStyle w:val="5"/>
        <w:spacing w:line="240" w:lineRule="auto"/>
        <w:rPr>
          <w:rFonts w:hint="eastAsia" w:ascii="仿宋" w:hAnsi="仿宋" w:eastAsia="仿宋" w:cs="仿宋"/>
          <w:color w:val="auto"/>
          <w:highlight w:val="none"/>
        </w:rPr>
      </w:pPr>
      <w:bookmarkStart w:id="36" w:name="_Toc21060"/>
      <w:bookmarkStart w:id="37" w:name="_Toc13477"/>
      <w:bookmarkStart w:id="38" w:name="_Toc501460638"/>
      <w:r>
        <w:rPr>
          <w:rFonts w:hint="eastAsia" w:ascii="仿宋" w:hAnsi="仿宋" w:eastAsia="仿宋" w:cs="仿宋"/>
          <w:color w:val="auto"/>
          <w:highlight w:val="none"/>
        </w:rPr>
        <w:t>7. 发布公告的媒介</w:t>
      </w:r>
      <w:bookmarkEnd w:id="36"/>
      <w:bookmarkEnd w:id="37"/>
    </w:p>
    <w:p w14:paraId="76DAFBA1">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w:t>
      </w:r>
      <w:r>
        <w:rPr>
          <w:rFonts w:hint="eastAsia" w:ascii="仿宋" w:hAnsi="仿宋" w:eastAsia="仿宋" w:cs="仿宋"/>
          <w:color w:val="auto"/>
          <w:sz w:val="24"/>
          <w:szCs w:val="24"/>
          <w:highlight w:val="none"/>
          <w:lang w:val="en-US" w:eastAsia="zh-CN"/>
        </w:rPr>
        <w:t>询比采购</w:t>
      </w:r>
      <w:r>
        <w:rPr>
          <w:rFonts w:hint="eastAsia" w:ascii="仿宋" w:hAnsi="仿宋" w:eastAsia="仿宋" w:cs="仿宋"/>
          <w:color w:val="auto"/>
          <w:sz w:val="24"/>
          <w:szCs w:val="24"/>
          <w:highlight w:val="none"/>
        </w:rPr>
        <w:t>公告在</w:t>
      </w:r>
      <w:r>
        <w:rPr>
          <w:rFonts w:hint="eastAsia" w:ascii="仿宋" w:hAnsi="仿宋" w:eastAsia="仿宋" w:cs="仿宋"/>
          <w:bCs/>
          <w:snapToGrid w:val="0"/>
          <w:color w:val="auto"/>
          <w:kern w:val="0"/>
          <w:sz w:val="24"/>
          <w:szCs w:val="24"/>
          <w:highlight w:val="none"/>
        </w:rPr>
        <w:t>“</w:t>
      </w:r>
      <w:r>
        <w:rPr>
          <w:rFonts w:hint="eastAsia" w:ascii="仿宋" w:hAnsi="仿宋" w:eastAsia="仿宋" w:cs="仿宋"/>
          <w:bCs/>
          <w:snapToGrid w:val="0"/>
          <w:color w:val="auto"/>
          <w:kern w:val="0"/>
          <w:sz w:val="24"/>
          <w:szCs w:val="24"/>
          <w:highlight w:val="none"/>
          <w:lang w:val="en-US" w:eastAsia="zh-CN"/>
        </w:rPr>
        <w:t>安徽万丰祥餐饮经营管理有限公司官网</w:t>
      </w:r>
      <w:r>
        <w:rPr>
          <w:rFonts w:hint="eastAsia" w:ascii="仿宋" w:hAnsi="仿宋" w:eastAsia="仿宋" w:cs="仿宋"/>
          <w:bCs/>
          <w:snapToGrid w:val="0"/>
          <w:color w:val="auto"/>
          <w:kern w:val="0"/>
          <w:sz w:val="24"/>
          <w:szCs w:val="24"/>
          <w:highlight w:val="none"/>
        </w:rPr>
        <w:t>”</w:t>
      </w:r>
      <w:r>
        <w:rPr>
          <w:rFonts w:hint="eastAsia" w:ascii="仿宋" w:hAnsi="仿宋" w:eastAsia="仿宋" w:cs="仿宋"/>
          <w:color w:val="auto"/>
          <w:sz w:val="24"/>
          <w:szCs w:val="24"/>
          <w:highlight w:val="none"/>
        </w:rPr>
        <w:t>上发布。</w:t>
      </w:r>
    </w:p>
    <w:p w14:paraId="6F7C3655">
      <w:pPr>
        <w:spacing w:line="400" w:lineRule="exact"/>
        <w:ind w:firstLine="320" w:firstLineChars="200"/>
        <w:rPr>
          <w:rFonts w:hint="eastAsia" w:ascii="仿宋" w:hAnsi="仿宋" w:eastAsia="仿宋" w:cs="仿宋"/>
          <w:i/>
          <w:iCs w:val="0"/>
          <w:color w:val="auto"/>
          <w:sz w:val="16"/>
          <w:highlight w:val="none"/>
        </w:rPr>
      </w:pPr>
    </w:p>
    <w:p w14:paraId="611822D4">
      <w:pPr>
        <w:pStyle w:val="5"/>
        <w:spacing w:line="240" w:lineRule="auto"/>
        <w:rPr>
          <w:rFonts w:hint="eastAsia" w:ascii="仿宋" w:hAnsi="仿宋" w:eastAsia="仿宋" w:cs="仿宋"/>
          <w:color w:val="auto"/>
          <w:highlight w:val="none"/>
        </w:rPr>
      </w:pPr>
      <w:bookmarkStart w:id="39" w:name="_Toc18650"/>
      <w:bookmarkStart w:id="40" w:name="_Toc28023"/>
      <w:r>
        <w:rPr>
          <w:rFonts w:hint="eastAsia" w:ascii="仿宋" w:hAnsi="仿宋" w:eastAsia="仿宋" w:cs="仿宋"/>
          <w:color w:val="auto"/>
          <w:highlight w:val="none"/>
        </w:rPr>
        <w:t xml:space="preserve">8. </w:t>
      </w:r>
      <w:bookmarkEnd w:id="39"/>
      <w:bookmarkEnd w:id="40"/>
      <w:bookmarkStart w:id="41" w:name="_Toc7538"/>
      <w:r>
        <w:rPr>
          <w:rFonts w:hint="eastAsia" w:ascii="仿宋" w:hAnsi="仿宋" w:eastAsia="仿宋" w:cs="仿宋"/>
          <w:color w:val="auto"/>
          <w:highlight w:val="none"/>
        </w:rPr>
        <w:t>联系方式</w:t>
      </w:r>
      <w:bookmarkEnd w:id="38"/>
      <w:bookmarkEnd w:id="41"/>
    </w:p>
    <w:bookmarkEnd w:id="1"/>
    <w:bookmarkEnd w:id="2"/>
    <w:bookmarkEnd w:id="3"/>
    <w:p w14:paraId="212036A2">
      <w:pPr>
        <w:widowControl/>
        <w:adjustRightInd w:val="0"/>
        <w:snapToGrid w:val="0"/>
        <w:spacing w:line="360" w:lineRule="auto"/>
        <w:ind w:firstLine="566" w:firstLineChars="236"/>
        <w:jc w:val="left"/>
        <w:rPr>
          <w:rFonts w:ascii="宋体" w:hAnsi="宋体" w:eastAsia="仿宋"/>
          <w:color w:val="auto"/>
          <w:sz w:val="24"/>
          <w:szCs w:val="24"/>
          <w:highlight w:val="none"/>
        </w:rPr>
      </w:pPr>
      <w:bookmarkStart w:id="42" w:name="_Toc152045513"/>
      <w:bookmarkEnd w:id="42"/>
      <w:bookmarkStart w:id="43" w:name="_Toc300834930"/>
      <w:bookmarkEnd w:id="43"/>
      <w:bookmarkStart w:id="44" w:name="_Toc300834929"/>
      <w:bookmarkEnd w:id="44"/>
      <w:bookmarkStart w:id="45" w:name="_Toc10785"/>
      <w:bookmarkEnd w:id="45"/>
      <w:bookmarkStart w:id="46" w:name="_Toc361508562"/>
      <w:bookmarkEnd w:id="46"/>
      <w:bookmarkStart w:id="47" w:name="_Toc152042289"/>
      <w:bookmarkEnd w:id="47"/>
      <w:bookmarkStart w:id="48" w:name="_Toc17972"/>
      <w:bookmarkEnd w:id="48"/>
      <w:bookmarkStart w:id="49" w:name="_Toc144974481"/>
      <w:bookmarkEnd w:id="49"/>
      <w:bookmarkStart w:id="50" w:name="_Toc384308188"/>
      <w:bookmarkEnd w:id="50"/>
      <w:bookmarkStart w:id="51" w:name="_Toc361508563"/>
      <w:bookmarkEnd w:id="51"/>
      <w:bookmarkStart w:id="52" w:name="_Toc352691456"/>
      <w:bookmarkEnd w:id="52"/>
      <w:bookmarkStart w:id="53" w:name="_Toc369531497"/>
      <w:bookmarkEnd w:id="53"/>
      <w:bookmarkStart w:id="54" w:name="_Toc369531495"/>
      <w:bookmarkEnd w:id="54"/>
      <w:bookmarkStart w:id="55" w:name="_Toc361508560"/>
      <w:bookmarkEnd w:id="55"/>
      <w:bookmarkStart w:id="56" w:name="_Toc144974480"/>
      <w:bookmarkEnd w:id="56"/>
      <w:bookmarkStart w:id="57" w:name="_Toc352691453"/>
      <w:bookmarkEnd w:id="57"/>
      <w:bookmarkStart w:id="58" w:name="_Toc369531498"/>
      <w:bookmarkEnd w:id="58"/>
      <w:bookmarkStart w:id="59" w:name="_Toc247527535"/>
      <w:bookmarkEnd w:id="59"/>
      <w:bookmarkStart w:id="60" w:name="_Toc30817"/>
      <w:bookmarkEnd w:id="60"/>
      <w:bookmarkStart w:id="61" w:name="_Toc352691455"/>
      <w:bookmarkEnd w:id="61"/>
      <w:bookmarkStart w:id="62" w:name="_Toc300834927"/>
      <w:bookmarkEnd w:id="62"/>
      <w:bookmarkStart w:id="63" w:name="_Toc384308187"/>
      <w:bookmarkEnd w:id="63"/>
      <w:bookmarkStart w:id="64" w:name="_Toc152042288"/>
      <w:bookmarkEnd w:id="64"/>
      <w:bookmarkStart w:id="65" w:name="_Toc247513935"/>
      <w:bookmarkEnd w:id="65"/>
      <w:bookmarkStart w:id="66" w:name="_Toc247527536"/>
      <w:bookmarkEnd w:id="66"/>
      <w:bookmarkStart w:id="67" w:name="_Toc247513934"/>
      <w:bookmarkEnd w:id="67"/>
      <w:bookmarkStart w:id="68" w:name="_Toc152045512"/>
      <w:bookmarkEnd w:id="68"/>
      <w:bookmarkStart w:id="69" w:name="_Toc384308185"/>
      <w:bookmarkEnd w:id="69"/>
      <w:r>
        <w:rPr>
          <w:rFonts w:hint="eastAsia" w:ascii="宋体" w:hAnsi="宋体" w:eastAsia="仿宋" w:cs="宋体"/>
          <w:color w:val="auto"/>
          <w:sz w:val="24"/>
          <w:szCs w:val="24"/>
          <w:highlight w:val="none"/>
        </w:rPr>
        <w:t>1.采购人信息</w:t>
      </w:r>
    </w:p>
    <w:p w14:paraId="3D54DE1E">
      <w:pPr>
        <w:widowControl/>
        <w:adjustRightInd w:val="0"/>
        <w:snapToGrid w:val="0"/>
        <w:spacing w:line="360" w:lineRule="auto"/>
        <w:ind w:firstLine="566" w:firstLineChars="236"/>
        <w:jc w:val="left"/>
        <w:rPr>
          <w:rFonts w:hint="eastAsia" w:ascii="宋体" w:hAnsi="宋体" w:eastAsia="仿宋"/>
          <w:color w:val="auto"/>
          <w:sz w:val="24"/>
          <w:szCs w:val="24"/>
          <w:highlight w:val="none"/>
          <w:lang w:eastAsia="zh-CN"/>
        </w:rPr>
      </w:pPr>
      <w:r>
        <w:rPr>
          <w:rFonts w:hint="eastAsia" w:ascii="宋体" w:hAnsi="宋体" w:eastAsia="仿宋" w:cs="宋体"/>
          <w:color w:val="auto"/>
          <w:sz w:val="24"/>
          <w:szCs w:val="24"/>
          <w:highlight w:val="none"/>
        </w:rPr>
        <w:t>名 称：</w:t>
      </w:r>
      <w:r>
        <w:rPr>
          <w:rFonts w:hint="eastAsia" w:ascii="宋体" w:hAnsi="宋体" w:eastAsia="仿宋" w:cs="宋体"/>
          <w:color w:val="auto"/>
          <w:sz w:val="24"/>
          <w:szCs w:val="24"/>
          <w:highlight w:val="none"/>
          <w:lang w:eastAsia="zh-CN"/>
        </w:rPr>
        <w:t>安徽万丰祥餐饮经营管理有限公司</w:t>
      </w:r>
    </w:p>
    <w:p w14:paraId="56843BB6">
      <w:pPr>
        <w:widowControl/>
        <w:adjustRightInd w:val="0"/>
        <w:snapToGrid w:val="0"/>
        <w:spacing w:line="360" w:lineRule="auto"/>
        <w:ind w:firstLine="566" w:firstLineChars="236"/>
        <w:jc w:val="left"/>
        <w:rPr>
          <w:rFonts w:ascii="宋体" w:hAnsi="宋体" w:eastAsia="仿宋"/>
          <w:color w:val="auto"/>
          <w:sz w:val="24"/>
          <w:szCs w:val="24"/>
          <w:highlight w:val="none"/>
        </w:rPr>
      </w:pPr>
      <w:r>
        <w:rPr>
          <w:rFonts w:hint="eastAsia" w:ascii="宋体" w:hAnsi="宋体" w:eastAsia="仿宋" w:cs="宋体"/>
          <w:color w:val="auto"/>
          <w:sz w:val="24"/>
          <w:szCs w:val="24"/>
          <w:highlight w:val="none"/>
        </w:rPr>
        <w:t>地 址：</w:t>
      </w:r>
      <w:r>
        <w:rPr>
          <w:rFonts w:hint="eastAsia" w:ascii="宋体" w:hAnsi="宋体" w:eastAsia="仿宋" w:cs="宋体"/>
          <w:color w:val="auto"/>
          <w:sz w:val="24"/>
          <w:szCs w:val="24"/>
          <w:highlight w:val="none"/>
          <w:lang w:val="en-US" w:eastAsia="zh-CN"/>
        </w:rPr>
        <w:t>安徽省合肥市瑶海区中国网谷4号楼4楼</w:t>
      </w:r>
    </w:p>
    <w:p w14:paraId="1F235C05">
      <w:pPr>
        <w:pStyle w:val="17"/>
        <w:adjustRightInd w:val="0"/>
        <w:snapToGrid w:val="0"/>
        <w:spacing w:line="360" w:lineRule="auto"/>
        <w:ind w:firstLine="566" w:firstLineChars="236"/>
        <w:rPr>
          <w:rFonts w:hint="default" w:hAnsi="宋体" w:eastAsia="仿宋"/>
          <w:color w:val="auto"/>
          <w:sz w:val="24"/>
          <w:szCs w:val="24"/>
          <w:highlight w:val="none"/>
          <w:lang w:val="en-US" w:eastAsia="zh-CN"/>
        </w:rPr>
      </w:pPr>
      <w:r>
        <w:rPr>
          <w:rFonts w:hint="eastAsia" w:hAnsi="宋体" w:eastAsia="仿宋" w:cs="宋体"/>
          <w:color w:val="auto"/>
          <w:sz w:val="24"/>
          <w:szCs w:val="24"/>
          <w:highlight w:val="none"/>
        </w:rPr>
        <w:t>项目联系人</w:t>
      </w:r>
      <w:r>
        <w:rPr>
          <w:rFonts w:hint="eastAsia" w:hAnsi="宋体" w:eastAsia="仿宋"/>
          <w:color w:val="auto"/>
          <w:sz w:val="24"/>
          <w:szCs w:val="24"/>
          <w:highlight w:val="none"/>
        </w:rPr>
        <w:t>：</w:t>
      </w:r>
      <w:r>
        <w:rPr>
          <w:rFonts w:hint="eastAsia" w:hAnsi="宋体" w:eastAsia="仿宋"/>
          <w:color w:val="auto"/>
          <w:sz w:val="24"/>
          <w:szCs w:val="24"/>
          <w:highlight w:val="none"/>
          <w:lang w:val="en-US" w:eastAsia="zh-CN"/>
        </w:rPr>
        <w:t>董经理</w:t>
      </w:r>
    </w:p>
    <w:p w14:paraId="20A958BB">
      <w:pPr>
        <w:pStyle w:val="17"/>
        <w:adjustRightInd w:val="0"/>
        <w:snapToGrid w:val="0"/>
        <w:spacing w:line="360" w:lineRule="auto"/>
        <w:ind w:firstLine="566" w:firstLineChars="236"/>
        <w:rPr>
          <w:rFonts w:hint="eastAsia" w:hAnsi="宋体" w:eastAsia="仿宋"/>
          <w:color w:val="auto"/>
          <w:sz w:val="24"/>
          <w:szCs w:val="24"/>
          <w:highlight w:val="none"/>
        </w:rPr>
      </w:pPr>
      <w:r>
        <w:rPr>
          <w:rFonts w:hint="eastAsia" w:hAnsi="宋体" w:eastAsia="仿宋"/>
          <w:color w:val="auto"/>
          <w:sz w:val="24"/>
          <w:szCs w:val="24"/>
          <w:highlight w:val="none"/>
        </w:rPr>
        <w:t>电 话：</w:t>
      </w:r>
      <w:r>
        <w:rPr>
          <w:rFonts w:hint="eastAsia" w:hAnsi="宋体" w:eastAsia="仿宋"/>
          <w:color w:val="auto"/>
          <w:sz w:val="24"/>
          <w:szCs w:val="24"/>
          <w:highlight w:val="none"/>
          <w:lang w:val="en-US" w:eastAsia="zh-CN"/>
        </w:rPr>
        <w:t>18225513346</w:t>
      </w:r>
      <w:r>
        <w:rPr>
          <w:rFonts w:hint="eastAsia" w:hAnsi="宋体" w:eastAsia="仿宋"/>
          <w:color w:val="auto"/>
          <w:sz w:val="24"/>
          <w:szCs w:val="24"/>
          <w:highlight w:val="none"/>
        </w:rPr>
        <w:t>（无人接听可短信留言）</w:t>
      </w:r>
    </w:p>
    <w:p w14:paraId="244D3240">
      <w:pPr>
        <w:pStyle w:val="17"/>
        <w:adjustRightInd w:val="0"/>
        <w:snapToGrid w:val="0"/>
        <w:spacing w:line="360" w:lineRule="auto"/>
        <w:ind w:firstLine="495" w:firstLineChars="236"/>
        <w:rPr>
          <w:rFonts w:ascii="Times New Roman" w:hAnsi="Times New Roman"/>
          <w:color w:val="auto"/>
          <w:highlight w:val="none"/>
        </w:rPr>
      </w:pPr>
      <w:r>
        <w:rPr>
          <w:rFonts w:ascii="Times New Roman" w:hAnsi="Times New Roman"/>
          <w:color w:val="auto"/>
          <w:highlight w:val="none"/>
        </w:rPr>
        <w:br w:type="page"/>
      </w:r>
    </w:p>
    <w:p w14:paraId="68D9BA13">
      <w:pPr>
        <w:pStyle w:val="4"/>
        <w:spacing w:line="240" w:lineRule="auto"/>
        <w:jc w:val="center"/>
        <w:rPr>
          <w:rFonts w:hint="eastAsia" w:ascii="仿宋" w:hAnsi="仿宋" w:eastAsia="仿宋" w:cs="仿宋"/>
          <w:color w:val="auto"/>
          <w:highlight w:val="none"/>
        </w:rPr>
      </w:pPr>
      <w:bookmarkStart w:id="70" w:name="_Toc24817"/>
      <w:bookmarkStart w:id="71" w:name="_Toc501460648"/>
      <w:r>
        <w:rPr>
          <w:rFonts w:hint="eastAsia" w:ascii="仿宋" w:hAnsi="仿宋" w:eastAsia="仿宋" w:cs="仿宋"/>
          <w:color w:val="auto"/>
          <w:highlight w:val="none"/>
        </w:rPr>
        <w:t>第二章  供应商须知</w:t>
      </w:r>
      <w:bookmarkEnd w:id="70"/>
      <w:bookmarkEnd w:id="71"/>
    </w:p>
    <w:p w14:paraId="5CC431AC">
      <w:pPr>
        <w:pStyle w:val="5"/>
        <w:spacing w:line="240" w:lineRule="auto"/>
        <w:jc w:val="center"/>
        <w:rPr>
          <w:rFonts w:hint="eastAsia" w:ascii="仿宋" w:hAnsi="仿宋" w:eastAsia="仿宋" w:cs="仿宋"/>
          <w:color w:val="auto"/>
          <w:highlight w:val="none"/>
        </w:rPr>
      </w:pPr>
      <w:bookmarkStart w:id="72" w:name="_Toc246996917"/>
      <w:bookmarkStart w:id="73" w:name="_Toc144974496"/>
      <w:bookmarkStart w:id="74" w:name="_Toc296602419"/>
      <w:bookmarkStart w:id="75" w:name="_Toc179632545"/>
      <w:bookmarkStart w:id="76" w:name="_Toc152045528"/>
      <w:bookmarkStart w:id="77" w:name="_Toc13263"/>
      <w:bookmarkStart w:id="78" w:name="_Toc246996174"/>
      <w:bookmarkStart w:id="79" w:name="_Toc152042304"/>
      <w:bookmarkStart w:id="80" w:name="_Toc247085688"/>
      <w:r>
        <w:rPr>
          <w:rFonts w:hint="eastAsia" w:ascii="仿宋" w:hAnsi="仿宋" w:eastAsia="仿宋" w:cs="仿宋"/>
          <w:color w:val="auto"/>
          <w:highlight w:val="none"/>
        </w:rPr>
        <w:t>供应商须知前附表</w:t>
      </w:r>
      <w:bookmarkEnd w:id="72"/>
      <w:bookmarkEnd w:id="73"/>
      <w:bookmarkEnd w:id="74"/>
      <w:bookmarkEnd w:id="75"/>
      <w:bookmarkEnd w:id="76"/>
      <w:bookmarkEnd w:id="77"/>
      <w:bookmarkEnd w:id="78"/>
      <w:bookmarkEnd w:id="79"/>
      <w:bookmarkEnd w:id="80"/>
    </w:p>
    <w:tbl>
      <w:tblPr>
        <w:tblStyle w:val="32"/>
        <w:tblW w:w="8755" w:type="dxa"/>
        <w:tblInd w:w="0" w:type="dxa"/>
        <w:tblLayout w:type="fixed"/>
        <w:tblCellMar>
          <w:top w:w="0" w:type="dxa"/>
          <w:left w:w="108" w:type="dxa"/>
          <w:bottom w:w="0" w:type="dxa"/>
          <w:right w:w="108" w:type="dxa"/>
        </w:tblCellMar>
      </w:tblPr>
      <w:tblGrid>
        <w:gridCol w:w="1008"/>
        <w:gridCol w:w="3211"/>
        <w:gridCol w:w="4536"/>
      </w:tblGrid>
      <w:tr w14:paraId="0E5662B3">
        <w:tblPrEx>
          <w:tblCellMar>
            <w:top w:w="0" w:type="dxa"/>
            <w:left w:w="108" w:type="dxa"/>
            <w:bottom w:w="0" w:type="dxa"/>
            <w:right w:w="108" w:type="dxa"/>
          </w:tblCellMar>
        </w:tblPrEx>
        <w:trPr>
          <w:trHeight w:val="567" w:hRule="atLeast"/>
          <w:tblHeader/>
        </w:trPr>
        <w:tc>
          <w:tcPr>
            <w:tcW w:w="1008" w:type="dxa"/>
            <w:tcBorders>
              <w:top w:val="single" w:color="auto" w:sz="4" w:space="0"/>
              <w:left w:val="single" w:color="auto" w:sz="4" w:space="0"/>
              <w:bottom w:val="single" w:color="auto" w:sz="4" w:space="0"/>
              <w:right w:val="single" w:color="auto" w:sz="4" w:space="0"/>
            </w:tcBorders>
            <w:vAlign w:val="center"/>
          </w:tcPr>
          <w:p w14:paraId="6C269EED">
            <w:pPr>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条款号</w:t>
            </w:r>
          </w:p>
        </w:tc>
        <w:tc>
          <w:tcPr>
            <w:tcW w:w="3211" w:type="dxa"/>
            <w:tcBorders>
              <w:top w:val="single" w:color="auto" w:sz="4" w:space="0"/>
              <w:left w:val="single" w:color="auto" w:sz="4" w:space="0"/>
              <w:bottom w:val="single" w:color="auto" w:sz="4" w:space="0"/>
              <w:right w:val="single" w:color="auto" w:sz="4" w:space="0"/>
            </w:tcBorders>
            <w:vAlign w:val="center"/>
          </w:tcPr>
          <w:p w14:paraId="2614751C">
            <w:pPr>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条  款  名  称</w:t>
            </w:r>
          </w:p>
        </w:tc>
        <w:tc>
          <w:tcPr>
            <w:tcW w:w="4536" w:type="dxa"/>
            <w:tcBorders>
              <w:top w:val="single" w:color="auto" w:sz="4" w:space="0"/>
              <w:left w:val="single" w:color="auto" w:sz="4" w:space="0"/>
              <w:bottom w:val="single" w:color="auto" w:sz="4" w:space="0"/>
              <w:right w:val="single" w:color="auto" w:sz="4" w:space="0"/>
            </w:tcBorders>
            <w:vAlign w:val="center"/>
          </w:tcPr>
          <w:p w14:paraId="64C39E28">
            <w:pPr>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编  列  内  容</w:t>
            </w:r>
          </w:p>
        </w:tc>
      </w:tr>
      <w:tr w14:paraId="5911D9CD">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624A023B">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1.7.1</w:t>
            </w:r>
          </w:p>
        </w:tc>
        <w:tc>
          <w:tcPr>
            <w:tcW w:w="3211" w:type="dxa"/>
            <w:tcBorders>
              <w:top w:val="single" w:color="auto" w:sz="4" w:space="0"/>
              <w:left w:val="single" w:color="auto" w:sz="4" w:space="0"/>
              <w:bottom w:val="single" w:color="auto" w:sz="4" w:space="0"/>
              <w:right w:val="single" w:color="auto" w:sz="4" w:space="0"/>
            </w:tcBorders>
            <w:vAlign w:val="center"/>
          </w:tcPr>
          <w:p w14:paraId="68AAE246">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踏勘现场</w:t>
            </w:r>
          </w:p>
        </w:tc>
        <w:tc>
          <w:tcPr>
            <w:tcW w:w="4536" w:type="dxa"/>
            <w:tcBorders>
              <w:top w:val="single" w:color="auto" w:sz="4" w:space="0"/>
              <w:left w:val="single" w:color="auto" w:sz="4" w:space="0"/>
              <w:bottom w:val="single" w:color="auto" w:sz="4" w:space="0"/>
              <w:right w:val="single" w:color="auto" w:sz="4" w:space="0"/>
            </w:tcBorders>
            <w:vAlign w:val="center"/>
          </w:tcPr>
          <w:p w14:paraId="7D148C25">
            <w:pPr>
              <w:pStyle w:val="12"/>
              <w:topLinePunct/>
              <w:snapToGrid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sym w:font="Wingdings 2" w:char="0052"/>
            </w:r>
            <w:r>
              <w:rPr>
                <w:rFonts w:hint="eastAsia" w:ascii="仿宋" w:hAnsi="仿宋" w:eastAsia="仿宋" w:cs="仿宋"/>
                <w:color w:val="auto"/>
                <w:sz w:val="24"/>
                <w:szCs w:val="24"/>
                <w:highlight w:val="none"/>
              </w:rPr>
              <w:t>不组织</w:t>
            </w:r>
          </w:p>
          <w:p w14:paraId="0875DBE8">
            <w:pPr>
              <w:snapToGrid w:val="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sym w:font="Wingdings 2" w:char="00A3"/>
            </w:r>
            <w:r>
              <w:rPr>
                <w:rFonts w:hint="eastAsia" w:ascii="仿宋" w:hAnsi="仿宋" w:eastAsia="仿宋" w:cs="仿宋"/>
                <w:color w:val="auto"/>
                <w:sz w:val="24"/>
                <w:szCs w:val="24"/>
                <w:highlight w:val="none"/>
              </w:rPr>
              <w:t>组织，踏勘时间：</w:t>
            </w:r>
            <w:r>
              <w:rPr>
                <w:rFonts w:hint="eastAsia" w:ascii="仿宋" w:hAnsi="仿宋" w:eastAsia="仿宋" w:cs="仿宋"/>
                <w:color w:val="auto"/>
                <w:sz w:val="24"/>
                <w:szCs w:val="24"/>
                <w:highlight w:val="none"/>
                <w:lang w:val="en-US" w:eastAsia="zh-CN"/>
              </w:rPr>
              <w:t>/</w:t>
            </w:r>
          </w:p>
          <w:p w14:paraId="61878B58">
            <w:pPr>
              <w:snapToGrid w:val="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 xml:space="preserve">        踏勘集中地点：</w:t>
            </w:r>
            <w:r>
              <w:rPr>
                <w:rFonts w:hint="eastAsia" w:ascii="仿宋" w:hAnsi="仿宋" w:eastAsia="仿宋" w:cs="仿宋"/>
                <w:color w:val="auto"/>
                <w:sz w:val="24"/>
                <w:szCs w:val="24"/>
                <w:highlight w:val="none"/>
                <w:lang w:val="en-US" w:eastAsia="zh-CN"/>
              </w:rPr>
              <w:t>/</w:t>
            </w:r>
          </w:p>
        </w:tc>
      </w:tr>
      <w:tr w14:paraId="62029839">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4453732F">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w:t>
            </w:r>
          </w:p>
        </w:tc>
        <w:tc>
          <w:tcPr>
            <w:tcW w:w="3211" w:type="dxa"/>
            <w:tcBorders>
              <w:top w:val="single" w:color="auto" w:sz="4" w:space="0"/>
              <w:left w:val="single" w:color="auto" w:sz="4" w:space="0"/>
              <w:bottom w:val="single" w:color="auto" w:sz="4" w:space="0"/>
              <w:right w:val="single" w:color="auto" w:sz="4" w:space="0"/>
            </w:tcBorders>
            <w:vAlign w:val="center"/>
          </w:tcPr>
          <w:p w14:paraId="6904F13A">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询比采购预备会</w:t>
            </w:r>
          </w:p>
        </w:tc>
        <w:tc>
          <w:tcPr>
            <w:tcW w:w="4536" w:type="dxa"/>
            <w:tcBorders>
              <w:top w:val="single" w:color="auto" w:sz="4" w:space="0"/>
              <w:left w:val="single" w:color="auto" w:sz="4" w:space="0"/>
              <w:bottom w:val="single" w:color="auto" w:sz="4" w:space="0"/>
              <w:right w:val="single" w:color="auto" w:sz="4" w:space="0"/>
            </w:tcBorders>
            <w:vAlign w:val="center"/>
          </w:tcPr>
          <w:p w14:paraId="35EDBA07">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sym w:font="Wingdings 2" w:char="0052"/>
            </w:r>
            <w:r>
              <w:rPr>
                <w:rFonts w:hint="eastAsia" w:ascii="仿宋" w:hAnsi="仿宋" w:eastAsia="仿宋" w:cs="仿宋"/>
                <w:color w:val="auto"/>
                <w:sz w:val="24"/>
                <w:szCs w:val="24"/>
                <w:highlight w:val="none"/>
              </w:rPr>
              <w:t>不召开</w:t>
            </w:r>
          </w:p>
          <w:p w14:paraId="30CB61AF">
            <w:pPr>
              <w:snapToGrid w:val="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sym w:font="Wingdings 2" w:char="00A3"/>
            </w:r>
            <w:r>
              <w:rPr>
                <w:rFonts w:hint="eastAsia" w:ascii="仿宋" w:hAnsi="仿宋" w:eastAsia="仿宋" w:cs="仿宋"/>
                <w:color w:val="auto"/>
                <w:sz w:val="24"/>
                <w:szCs w:val="24"/>
                <w:highlight w:val="none"/>
              </w:rPr>
              <w:t>召开，召开时间：</w:t>
            </w:r>
            <w:r>
              <w:rPr>
                <w:rFonts w:hint="eastAsia" w:ascii="仿宋" w:hAnsi="仿宋" w:eastAsia="仿宋" w:cs="仿宋"/>
                <w:color w:val="auto"/>
                <w:sz w:val="24"/>
                <w:szCs w:val="24"/>
                <w:highlight w:val="none"/>
                <w:lang w:val="en-US" w:eastAsia="zh-CN"/>
              </w:rPr>
              <w:t>/</w:t>
            </w:r>
          </w:p>
          <w:p w14:paraId="493DC6AF">
            <w:pPr>
              <w:snapToGrid w:val="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 xml:space="preserve">       召开地点：</w:t>
            </w:r>
            <w:r>
              <w:rPr>
                <w:rFonts w:hint="eastAsia" w:ascii="仿宋" w:hAnsi="仿宋" w:eastAsia="仿宋" w:cs="仿宋"/>
                <w:color w:val="auto"/>
                <w:sz w:val="24"/>
                <w:szCs w:val="24"/>
                <w:highlight w:val="none"/>
                <w:lang w:val="en-US" w:eastAsia="zh-CN"/>
              </w:rPr>
              <w:t>/</w:t>
            </w:r>
          </w:p>
        </w:tc>
      </w:tr>
      <w:tr w14:paraId="3A6A5554">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521E8945">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1.10.2</w:t>
            </w:r>
          </w:p>
        </w:tc>
        <w:tc>
          <w:tcPr>
            <w:tcW w:w="3211" w:type="dxa"/>
            <w:tcBorders>
              <w:top w:val="single" w:color="auto" w:sz="4" w:space="0"/>
              <w:left w:val="single" w:color="auto" w:sz="4" w:space="0"/>
              <w:bottom w:val="single" w:color="auto" w:sz="4" w:space="0"/>
              <w:right w:val="single" w:color="auto" w:sz="4" w:space="0"/>
            </w:tcBorders>
            <w:vAlign w:val="center"/>
          </w:tcPr>
          <w:p w14:paraId="6B16FECB">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对非关键条款的偏差</w:t>
            </w:r>
          </w:p>
        </w:tc>
        <w:tc>
          <w:tcPr>
            <w:tcW w:w="4536" w:type="dxa"/>
            <w:tcBorders>
              <w:top w:val="single" w:color="auto" w:sz="4" w:space="0"/>
              <w:left w:val="single" w:color="auto" w:sz="4" w:space="0"/>
              <w:bottom w:val="single" w:color="auto" w:sz="4" w:space="0"/>
              <w:right w:val="single" w:color="auto" w:sz="4" w:space="0"/>
            </w:tcBorders>
            <w:vAlign w:val="center"/>
          </w:tcPr>
          <w:p w14:paraId="2293C39F">
            <w:pPr>
              <w:snapToGrid w:val="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见询比采购文件第五章“服务需求”  </w:t>
            </w:r>
          </w:p>
        </w:tc>
      </w:tr>
      <w:tr w14:paraId="539B9309">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5F586D15">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2.1（7）</w:t>
            </w:r>
          </w:p>
        </w:tc>
        <w:tc>
          <w:tcPr>
            <w:tcW w:w="3211" w:type="dxa"/>
            <w:tcBorders>
              <w:top w:val="single" w:color="auto" w:sz="4" w:space="0"/>
              <w:left w:val="single" w:color="auto" w:sz="4" w:space="0"/>
              <w:bottom w:val="single" w:color="auto" w:sz="4" w:space="0"/>
              <w:right w:val="single" w:color="auto" w:sz="4" w:space="0"/>
            </w:tcBorders>
            <w:vAlign w:val="center"/>
          </w:tcPr>
          <w:p w14:paraId="5AC03669">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构成采购文件的其他资料</w:t>
            </w:r>
          </w:p>
        </w:tc>
        <w:tc>
          <w:tcPr>
            <w:tcW w:w="4536" w:type="dxa"/>
            <w:tcBorders>
              <w:top w:val="single" w:color="auto" w:sz="4" w:space="0"/>
              <w:left w:val="single" w:color="auto" w:sz="4" w:space="0"/>
              <w:bottom w:val="single" w:color="auto" w:sz="4" w:space="0"/>
              <w:right w:val="single" w:color="auto" w:sz="4" w:space="0"/>
            </w:tcBorders>
            <w:vAlign w:val="center"/>
          </w:tcPr>
          <w:p w14:paraId="6094BC18">
            <w:pPr>
              <w:snapToGrid w:val="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w:t>
            </w:r>
          </w:p>
        </w:tc>
      </w:tr>
      <w:tr w14:paraId="56C88474">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7D26C92B">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2.2.1</w:t>
            </w:r>
          </w:p>
        </w:tc>
        <w:tc>
          <w:tcPr>
            <w:tcW w:w="3211" w:type="dxa"/>
            <w:tcBorders>
              <w:top w:val="single" w:color="auto" w:sz="4" w:space="0"/>
              <w:left w:val="single" w:color="auto" w:sz="4" w:space="0"/>
              <w:bottom w:val="single" w:color="auto" w:sz="4" w:space="0"/>
              <w:right w:val="single" w:color="auto" w:sz="4" w:space="0"/>
            </w:tcBorders>
            <w:vAlign w:val="center"/>
          </w:tcPr>
          <w:p w14:paraId="5B9A8E19">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供应商要求澄清采购文件的时间</w:t>
            </w:r>
          </w:p>
        </w:tc>
        <w:tc>
          <w:tcPr>
            <w:tcW w:w="4536" w:type="dxa"/>
            <w:tcBorders>
              <w:top w:val="single" w:color="auto" w:sz="4" w:space="0"/>
              <w:left w:val="single" w:color="auto" w:sz="4" w:space="0"/>
              <w:bottom w:val="single" w:color="auto" w:sz="4" w:space="0"/>
              <w:right w:val="single" w:color="auto" w:sz="4" w:space="0"/>
            </w:tcBorders>
            <w:vAlign w:val="center"/>
          </w:tcPr>
          <w:p w14:paraId="72667024">
            <w:pPr>
              <w:snapToGrid w:val="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形式：</w:t>
            </w:r>
            <w:r>
              <w:rPr>
                <w:rFonts w:hint="eastAsia" w:ascii="仿宋" w:hAnsi="仿宋" w:eastAsia="仿宋" w:cs="仿宋"/>
                <w:color w:val="auto"/>
                <w:sz w:val="24"/>
                <w:szCs w:val="24"/>
                <w:highlight w:val="none"/>
              </w:rPr>
              <w:t>通过</w:t>
            </w:r>
            <w:r>
              <w:rPr>
                <w:rFonts w:hint="eastAsia" w:ascii="仿宋" w:hAnsi="仿宋" w:eastAsia="仿宋" w:cs="仿宋"/>
                <w:color w:val="auto"/>
                <w:sz w:val="24"/>
                <w:szCs w:val="24"/>
                <w:highlight w:val="none"/>
                <w:lang w:val="en-US" w:eastAsia="zh-CN"/>
              </w:rPr>
              <w:t>邮件形式</w:t>
            </w:r>
            <w:r>
              <w:rPr>
                <w:rFonts w:hint="eastAsia" w:ascii="仿宋" w:hAnsi="仿宋" w:eastAsia="仿宋" w:cs="仿宋"/>
                <w:color w:val="auto"/>
                <w:sz w:val="24"/>
                <w:szCs w:val="24"/>
                <w:highlight w:val="none"/>
              </w:rPr>
              <w:t>提出</w:t>
            </w:r>
            <w:r>
              <w:rPr>
                <w:rFonts w:hint="eastAsia" w:ascii="仿宋" w:hAnsi="仿宋" w:eastAsia="仿宋" w:cs="仿宋"/>
                <w:color w:val="auto"/>
                <w:sz w:val="24"/>
                <w:szCs w:val="24"/>
                <w:highlight w:val="none"/>
                <w:lang w:eastAsia="zh-CN"/>
              </w:rPr>
              <w:t>。</w:t>
            </w:r>
          </w:p>
          <w:p w14:paraId="49C0137B">
            <w:pPr>
              <w:snapToGrid w:val="0"/>
              <w:jc w:val="left"/>
              <w:rPr>
                <w:rFonts w:hint="default"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rPr>
              <w:t>截止时间：</w:t>
            </w:r>
            <w:r>
              <w:rPr>
                <w:rFonts w:hint="eastAsia" w:ascii="仿宋" w:hAnsi="仿宋" w:eastAsia="仿宋" w:cs="仿宋"/>
                <w:color w:val="auto"/>
                <w:sz w:val="24"/>
                <w:szCs w:val="24"/>
                <w:highlight w:val="none"/>
                <w:lang w:val="en-US" w:eastAsia="zh-CN"/>
              </w:rPr>
              <w:t>2026年05月25日17:00</w:t>
            </w:r>
          </w:p>
        </w:tc>
      </w:tr>
      <w:tr w14:paraId="6652B3F3">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75871161">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2.2.3</w:t>
            </w:r>
          </w:p>
        </w:tc>
        <w:tc>
          <w:tcPr>
            <w:tcW w:w="3211" w:type="dxa"/>
            <w:tcBorders>
              <w:top w:val="single" w:color="auto" w:sz="4" w:space="0"/>
              <w:left w:val="single" w:color="auto" w:sz="4" w:space="0"/>
              <w:bottom w:val="single" w:color="auto" w:sz="4" w:space="0"/>
              <w:right w:val="single" w:color="auto" w:sz="4" w:space="0"/>
            </w:tcBorders>
            <w:vAlign w:val="center"/>
          </w:tcPr>
          <w:p w14:paraId="3197B95A">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供应商确认收到采购</w:t>
            </w:r>
          </w:p>
          <w:p w14:paraId="6432A187">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文件补充文件</w:t>
            </w:r>
          </w:p>
        </w:tc>
        <w:tc>
          <w:tcPr>
            <w:tcW w:w="4536" w:type="dxa"/>
            <w:tcBorders>
              <w:top w:val="single" w:color="auto" w:sz="4" w:space="0"/>
              <w:left w:val="single" w:color="auto" w:sz="4" w:space="0"/>
              <w:bottom w:val="single" w:color="auto" w:sz="4" w:space="0"/>
              <w:right w:val="single" w:color="auto" w:sz="4" w:space="0"/>
            </w:tcBorders>
            <w:vAlign w:val="center"/>
          </w:tcPr>
          <w:p w14:paraId="5A01A572">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供应商自行查看，无需确认。</w:t>
            </w:r>
          </w:p>
        </w:tc>
      </w:tr>
      <w:tr w14:paraId="5DA5F07D">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30B8956F">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3.1.1（9）</w:t>
            </w:r>
          </w:p>
        </w:tc>
        <w:tc>
          <w:tcPr>
            <w:tcW w:w="3211" w:type="dxa"/>
            <w:tcBorders>
              <w:top w:val="single" w:color="auto" w:sz="4" w:space="0"/>
              <w:left w:val="single" w:color="auto" w:sz="4" w:space="0"/>
              <w:bottom w:val="single" w:color="auto" w:sz="4" w:space="0"/>
              <w:right w:val="single" w:color="auto" w:sz="4" w:space="0"/>
            </w:tcBorders>
            <w:vAlign w:val="center"/>
          </w:tcPr>
          <w:p w14:paraId="65CF8A0F">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构成响应文件的其他资料</w:t>
            </w:r>
          </w:p>
        </w:tc>
        <w:tc>
          <w:tcPr>
            <w:tcW w:w="4536" w:type="dxa"/>
            <w:tcBorders>
              <w:top w:val="single" w:color="auto" w:sz="4" w:space="0"/>
              <w:left w:val="single" w:color="auto" w:sz="4" w:space="0"/>
              <w:bottom w:val="single" w:color="auto" w:sz="4" w:space="0"/>
              <w:right w:val="single" w:color="auto" w:sz="4" w:space="0"/>
            </w:tcBorders>
            <w:vAlign w:val="center"/>
          </w:tcPr>
          <w:p w14:paraId="3F37A82B">
            <w:pPr>
              <w:snapToGrid w:val="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w:t>
            </w:r>
          </w:p>
        </w:tc>
      </w:tr>
      <w:tr w14:paraId="61B97E19">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26D4D677">
            <w:pPr>
              <w:spacing w:line="440" w:lineRule="exact"/>
              <w:jc w:val="center"/>
              <w:rPr>
                <w:rFonts w:hint="eastAsia" w:ascii="Times New Roman" w:hAnsi="Times New Roman" w:eastAsia="仿宋" w:cs="Times New Roman"/>
                <w:color w:val="auto"/>
                <w:kern w:val="2"/>
                <w:sz w:val="24"/>
                <w:szCs w:val="24"/>
                <w:highlight w:val="none"/>
                <w:lang w:val="en-US" w:eastAsia="zh-CN" w:bidi="ar-SA"/>
              </w:rPr>
            </w:pPr>
            <w:r>
              <w:rPr>
                <w:rFonts w:hint="eastAsia" w:ascii="仿宋" w:hAnsi="仿宋" w:eastAsia="仿宋" w:cs="仿宋"/>
                <w:color w:val="auto"/>
                <w:sz w:val="24"/>
                <w:szCs w:val="24"/>
                <w:highlight w:val="none"/>
              </w:rPr>
              <w:t>3.2.1</w:t>
            </w:r>
          </w:p>
        </w:tc>
        <w:tc>
          <w:tcPr>
            <w:tcW w:w="3211" w:type="dxa"/>
            <w:tcBorders>
              <w:top w:val="single" w:color="auto" w:sz="4" w:space="0"/>
              <w:left w:val="single" w:color="auto" w:sz="4" w:space="0"/>
              <w:bottom w:val="single" w:color="auto" w:sz="4" w:space="0"/>
              <w:right w:val="single" w:color="auto" w:sz="4" w:space="0"/>
            </w:tcBorders>
            <w:vAlign w:val="center"/>
          </w:tcPr>
          <w:p w14:paraId="4B3EADF9">
            <w:pPr>
              <w:spacing w:line="440" w:lineRule="exact"/>
              <w:jc w:val="center"/>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olor w:val="auto"/>
                <w:sz w:val="24"/>
                <w:szCs w:val="24"/>
                <w:highlight w:val="none"/>
              </w:rPr>
              <w:t>增值税税金相关要求</w:t>
            </w:r>
          </w:p>
        </w:tc>
        <w:tc>
          <w:tcPr>
            <w:tcW w:w="4536" w:type="dxa"/>
            <w:tcBorders>
              <w:top w:val="single" w:color="auto" w:sz="4" w:space="0"/>
              <w:left w:val="single" w:color="auto" w:sz="4" w:space="0"/>
              <w:bottom w:val="single" w:color="auto" w:sz="4" w:space="0"/>
              <w:right w:val="single" w:color="auto" w:sz="4" w:space="0"/>
            </w:tcBorders>
            <w:vAlign w:val="center"/>
          </w:tcPr>
          <w:p w14:paraId="3050BE10">
            <w:pPr>
              <w:snapToGrid w:val="0"/>
              <w:spacing w:line="360" w:lineRule="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t>（1）计税方法：</w:t>
            </w:r>
          </w:p>
          <w:p w14:paraId="553AA333">
            <w:pPr>
              <w:snapToGrid w:val="0"/>
              <w:spacing w:line="360" w:lineRule="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sym w:font="Wingdings 2" w:char="0052"/>
            </w:r>
            <w:r>
              <w:rPr>
                <w:rFonts w:hint="eastAsia" w:ascii="Times New Roman" w:hAnsi="Times New Roman" w:eastAsia="仿宋"/>
                <w:color w:val="auto"/>
                <w:sz w:val="24"/>
                <w:szCs w:val="24"/>
                <w:highlight w:val="none"/>
              </w:rPr>
              <w:t>一般计税方法</w:t>
            </w:r>
          </w:p>
          <w:p w14:paraId="12F1E6FF">
            <w:pPr>
              <w:snapToGrid w:val="0"/>
              <w:spacing w:line="360" w:lineRule="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lang w:eastAsia="zh-CN"/>
              </w:rPr>
              <w:t>☑</w:t>
            </w:r>
            <w:r>
              <w:rPr>
                <w:rFonts w:hint="eastAsia" w:ascii="Times New Roman" w:hAnsi="Times New Roman" w:eastAsia="仿宋"/>
                <w:color w:val="auto"/>
                <w:sz w:val="24"/>
                <w:szCs w:val="24"/>
                <w:highlight w:val="none"/>
              </w:rPr>
              <w:t xml:space="preserve">简易计算方法 </w:t>
            </w:r>
          </w:p>
          <w:p w14:paraId="6C66BA79">
            <w:pPr>
              <w:snapToGrid w:val="0"/>
              <w:spacing w:line="360" w:lineRule="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t>（2）发票类型：</w:t>
            </w:r>
          </w:p>
          <w:p w14:paraId="62E1C108">
            <w:pPr>
              <w:snapToGrid w:val="0"/>
              <w:spacing w:line="360" w:lineRule="auto"/>
              <w:rPr>
                <w:rFonts w:ascii="Times New Roman" w:hAnsi="Times New Roman" w:eastAsia="仿宋"/>
                <w:color w:val="auto"/>
                <w:sz w:val="24"/>
                <w:szCs w:val="24"/>
                <w:highlight w:val="none"/>
              </w:rPr>
            </w:pPr>
            <w:r>
              <w:rPr>
                <w:rFonts w:hint="eastAsia" w:ascii="Times New Roman" w:hAnsi="Times New Roman" w:eastAsia="仿宋"/>
                <w:color w:val="auto"/>
                <w:sz w:val="24"/>
                <w:szCs w:val="24"/>
                <w:highlight w:val="none"/>
              </w:rPr>
              <w:sym w:font="Wingdings 2" w:char="0052"/>
            </w:r>
            <w:r>
              <w:rPr>
                <w:rFonts w:hint="eastAsia" w:ascii="Times New Roman" w:hAnsi="Times New Roman" w:eastAsia="仿宋"/>
                <w:color w:val="auto"/>
                <w:sz w:val="24"/>
                <w:szCs w:val="24"/>
                <w:highlight w:val="none"/>
              </w:rPr>
              <w:t>增值税专用发票</w:t>
            </w:r>
          </w:p>
          <w:p w14:paraId="03A5D3F4">
            <w:pPr>
              <w:snapToGrid w:val="0"/>
              <w:spacing w:line="360" w:lineRule="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olor w:val="auto"/>
                <w:sz w:val="24"/>
                <w:szCs w:val="24"/>
                <w:highlight w:val="none"/>
                <w:lang w:eastAsia="zh-CN"/>
              </w:rPr>
              <w:t>☑</w:t>
            </w:r>
            <w:r>
              <w:rPr>
                <w:rFonts w:hint="eastAsia" w:ascii="Times New Roman" w:hAnsi="Times New Roman" w:eastAsia="仿宋"/>
                <w:color w:val="auto"/>
                <w:sz w:val="24"/>
                <w:szCs w:val="24"/>
                <w:highlight w:val="none"/>
              </w:rPr>
              <w:t>增值税普通发票</w:t>
            </w:r>
          </w:p>
        </w:tc>
      </w:tr>
      <w:tr w14:paraId="03F9985B">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1E871A24">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3.2.2</w:t>
            </w:r>
          </w:p>
        </w:tc>
        <w:tc>
          <w:tcPr>
            <w:tcW w:w="3211" w:type="dxa"/>
            <w:tcBorders>
              <w:top w:val="single" w:color="auto" w:sz="4" w:space="0"/>
              <w:left w:val="single" w:color="auto" w:sz="4" w:space="0"/>
              <w:bottom w:val="single" w:color="auto" w:sz="4" w:space="0"/>
              <w:right w:val="single" w:color="auto" w:sz="4" w:space="0"/>
            </w:tcBorders>
            <w:vAlign w:val="center"/>
          </w:tcPr>
          <w:p w14:paraId="687349C5">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采购标的数量增减幅度</w:t>
            </w:r>
          </w:p>
        </w:tc>
        <w:tc>
          <w:tcPr>
            <w:tcW w:w="4536" w:type="dxa"/>
            <w:tcBorders>
              <w:top w:val="single" w:color="auto" w:sz="4" w:space="0"/>
              <w:left w:val="single" w:color="auto" w:sz="4" w:space="0"/>
              <w:bottom w:val="single" w:color="auto" w:sz="4" w:space="0"/>
              <w:right w:val="single" w:color="auto" w:sz="4" w:space="0"/>
            </w:tcBorders>
            <w:vAlign w:val="center"/>
          </w:tcPr>
          <w:p w14:paraId="4F51036A">
            <w:pPr>
              <w:snapToGrid w:val="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w:t>
            </w:r>
          </w:p>
        </w:tc>
      </w:tr>
      <w:tr w14:paraId="45E44FBE">
        <w:tblPrEx>
          <w:tblCellMar>
            <w:top w:w="0" w:type="dxa"/>
            <w:left w:w="108" w:type="dxa"/>
            <w:bottom w:w="0" w:type="dxa"/>
            <w:right w:w="108" w:type="dxa"/>
          </w:tblCellMar>
        </w:tblPrEx>
        <w:trPr>
          <w:trHeight w:val="90" w:hRule="atLeast"/>
        </w:trPr>
        <w:tc>
          <w:tcPr>
            <w:tcW w:w="1008" w:type="dxa"/>
            <w:tcBorders>
              <w:top w:val="single" w:color="auto" w:sz="4" w:space="0"/>
              <w:left w:val="single" w:color="auto" w:sz="4" w:space="0"/>
              <w:bottom w:val="single" w:color="auto" w:sz="4" w:space="0"/>
              <w:right w:val="single" w:color="auto" w:sz="4" w:space="0"/>
            </w:tcBorders>
            <w:vAlign w:val="center"/>
          </w:tcPr>
          <w:p w14:paraId="53EA9967">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3.2.3</w:t>
            </w:r>
          </w:p>
        </w:tc>
        <w:tc>
          <w:tcPr>
            <w:tcW w:w="3211" w:type="dxa"/>
            <w:tcBorders>
              <w:top w:val="single" w:color="auto" w:sz="4" w:space="0"/>
              <w:left w:val="single" w:color="auto" w:sz="4" w:space="0"/>
              <w:bottom w:val="single" w:color="auto" w:sz="4" w:space="0"/>
              <w:right w:val="single" w:color="auto" w:sz="4" w:space="0"/>
            </w:tcBorders>
            <w:vAlign w:val="center"/>
          </w:tcPr>
          <w:p w14:paraId="39523D7D">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最高限价或其计算方法</w:t>
            </w:r>
          </w:p>
        </w:tc>
        <w:tc>
          <w:tcPr>
            <w:tcW w:w="4536" w:type="dxa"/>
            <w:tcBorders>
              <w:top w:val="single" w:color="auto" w:sz="4" w:space="0"/>
              <w:left w:val="single" w:color="auto" w:sz="4" w:space="0"/>
              <w:bottom w:val="single" w:color="auto" w:sz="4" w:space="0"/>
              <w:right w:val="single" w:color="auto" w:sz="4" w:space="0"/>
            </w:tcBorders>
            <w:vAlign w:val="center"/>
          </w:tcPr>
          <w:p w14:paraId="308E6D3E">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sym w:font="Wingdings 2" w:char="00A3"/>
            </w:r>
            <w:r>
              <w:rPr>
                <w:rFonts w:hint="eastAsia" w:ascii="仿宋" w:hAnsi="仿宋" w:eastAsia="仿宋" w:cs="仿宋"/>
                <w:color w:val="auto"/>
                <w:sz w:val="24"/>
                <w:szCs w:val="24"/>
                <w:highlight w:val="none"/>
              </w:rPr>
              <w:t>无</w:t>
            </w:r>
          </w:p>
          <w:p w14:paraId="3BAD9438">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sym w:font="Wingdings 2" w:char="0052"/>
            </w:r>
            <w:r>
              <w:rPr>
                <w:rFonts w:hint="eastAsia" w:ascii="仿宋" w:hAnsi="仿宋" w:eastAsia="仿宋" w:cs="仿宋"/>
                <w:color w:val="auto"/>
                <w:sz w:val="24"/>
                <w:szCs w:val="24"/>
                <w:highlight w:val="none"/>
              </w:rPr>
              <w:t>有，最高限价或其计算方法：折扣率报价不超过98%</w:t>
            </w:r>
          </w:p>
        </w:tc>
      </w:tr>
      <w:tr w14:paraId="0FA5C8C4">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0168438B">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3.2.4</w:t>
            </w:r>
          </w:p>
        </w:tc>
        <w:tc>
          <w:tcPr>
            <w:tcW w:w="3211" w:type="dxa"/>
            <w:tcBorders>
              <w:top w:val="single" w:color="auto" w:sz="4" w:space="0"/>
              <w:left w:val="single" w:color="auto" w:sz="4" w:space="0"/>
              <w:bottom w:val="single" w:color="auto" w:sz="4" w:space="0"/>
              <w:right w:val="single" w:color="auto" w:sz="4" w:space="0"/>
            </w:tcBorders>
            <w:vAlign w:val="center"/>
          </w:tcPr>
          <w:p w14:paraId="4FFE5DA1">
            <w:pPr>
              <w:snapToGrid w:val="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w:t>
            </w:r>
            <w:r>
              <w:rPr>
                <w:rFonts w:hint="eastAsia" w:ascii="仿宋" w:hAnsi="仿宋" w:eastAsia="仿宋" w:cs="仿宋"/>
                <w:b/>
                <w:bCs/>
                <w:color w:val="auto"/>
                <w:sz w:val="24"/>
                <w:szCs w:val="24"/>
                <w:highlight w:val="none"/>
                <w:lang w:val="en-US" w:eastAsia="zh-CN"/>
              </w:rPr>
              <w:t>方式</w:t>
            </w:r>
          </w:p>
        </w:tc>
        <w:tc>
          <w:tcPr>
            <w:tcW w:w="4536" w:type="dxa"/>
            <w:tcBorders>
              <w:top w:val="single" w:color="auto" w:sz="4" w:space="0"/>
              <w:left w:val="single" w:color="auto" w:sz="4" w:space="0"/>
              <w:bottom w:val="single" w:color="auto" w:sz="4" w:space="0"/>
              <w:right w:val="single" w:color="auto" w:sz="4" w:space="0"/>
            </w:tcBorders>
            <w:vAlign w:val="center"/>
          </w:tcPr>
          <w:p w14:paraId="7B5CDF27">
            <w:pPr>
              <w:snapToGrid w:val="0"/>
              <w:jc w:val="left"/>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以合肥周谷堆农产品批发市场官网每日最新批发报价的折扣率进行报价，最高折扣率报价不超过98%</w:t>
            </w:r>
          </w:p>
        </w:tc>
      </w:tr>
      <w:tr w14:paraId="3D3A7B0B">
        <w:tblPrEx>
          <w:tblCellMar>
            <w:top w:w="0" w:type="dxa"/>
            <w:left w:w="108" w:type="dxa"/>
            <w:bottom w:w="0" w:type="dxa"/>
            <w:right w:w="108" w:type="dxa"/>
          </w:tblCellMar>
        </w:tblPrEx>
        <w:trPr>
          <w:trHeight w:val="442" w:hRule="atLeast"/>
        </w:trPr>
        <w:tc>
          <w:tcPr>
            <w:tcW w:w="1008" w:type="dxa"/>
            <w:tcBorders>
              <w:top w:val="single" w:color="auto" w:sz="4" w:space="0"/>
              <w:left w:val="single" w:color="auto" w:sz="4" w:space="0"/>
              <w:bottom w:val="single" w:color="auto" w:sz="4" w:space="0"/>
              <w:right w:val="single" w:color="auto" w:sz="4" w:space="0"/>
            </w:tcBorders>
            <w:vAlign w:val="center"/>
          </w:tcPr>
          <w:p w14:paraId="2C235386">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3.3.1</w:t>
            </w:r>
          </w:p>
        </w:tc>
        <w:tc>
          <w:tcPr>
            <w:tcW w:w="3211" w:type="dxa"/>
            <w:tcBorders>
              <w:top w:val="single" w:color="auto" w:sz="4" w:space="0"/>
              <w:left w:val="single" w:color="auto" w:sz="4" w:space="0"/>
              <w:bottom w:val="single" w:color="auto" w:sz="4" w:space="0"/>
              <w:right w:val="single" w:color="auto" w:sz="4" w:space="0"/>
            </w:tcBorders>
            <w:vAlign w:val="center"/>
          </w:tcPr>
          <w:p w14:paraId="5D18B8AF">
            <w:pPr>
              <w:snapToGrid w:val="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响应文件有效期</w:t>
            </w:r>
          </w:p>
        </w:tc>
        <w:tc>
          <w:tcPr>
            <w:tcW w:w="4536" w:type="dxa"/>
            <w:tcBorders>
              <w:top w:val="single" w:color="auto" w:sz="4" w:space="0"/>
              <w:left w:val="single" w:color="auto" w:sz="4" w:space="0"/>
              <w:bottom w:val="single" w:color="auto" w:sz="4" w:space="0"/>
              <w:right w:val="single" w:color="auto" w:sz="4" w:space="0"/>
            </w:tcBorders>
            <w:vAlign w:val="center"/>
          </w:tcPr>
          <w:p w14:paraId="6E1DFBD0">
            <w:pPr>
              <w:snapToGrid w:val="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90日历天</w:t>
            </w:r>
          </w:p>
        </w:tc>
      </w:tr>
      <w:tr w14:paraId="4FCB0E96">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252959DF">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3.4.1</w:t>
            </w:r>
          </w:p>
        </w:tc>
        <w:tc>
          <w:tcPr>
            <w:tcW w:w="3211" w:type="dxa"/>
            <w:tcBorders>
              <w:top w:val="single" w:color="auto" w:sz="4" w:space="0"/>
              <w:left w:val="single" w:color="auto" w:sz="4" w:space="0"/>
              <w:bottom w:val="single" w:color="auto" w:sz="4" w:space="0"/>
              <w:right w:val="single" w:color="auto" w:sz="4" w:space="0"/>
            </w:tcBorders>
            <w:vAlign w:val="center"/>
          </w:tcPr>
          <w:p w14:paraId="45063D36">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响应保证金</w:t>
            </w:r>
          </w:p>
        </w:tc>
        <w:tc>
          <w:tcPr>
            <w:tcW w:w="4536" w:type="dxa"/>
            <w:tcBorders>
              <w:top w:val="single" w:color="auto" w:sz="4" w:space="0"/>
              <w:left w:val="single" w:color="auto" w:sz="4" w:space="0"/>
              <w:bottom w:val="single" w:color="auto" w:sz="4" w:space="0"/>
              <w:right w:val="single" w:color="auto" w:sz="4" w:space="0"/>
            </w:tcBorders>
            <w:vAlign w:val="center"/>
          </w:tcPr>
          <w:p w14:paraId="24916822">
            <w:pPr>
              <w:pStyle w:val="12"/>
              <w:topLinePunct/>
              <w:spacing w:line="4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Cs w:val="24"/>
                <w:highlight w:val="none"/>
              </w:rPr>
              <w:t>不要求</w:t>
            </w:r>
          </w:p>
        </w:tc>
      </w:tr>
      <w:tr w14:paraId="04DD0EB9">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12B66898">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3.4.2</w:t>
            </w:r>
          </w:p>
        </w:tc>
        <w:tc>
          <w:tcPr>
            <w:tcW w:w="3211" w:type="dxa"/>
            <w:tcBorders>
              <w:top w:val="single" w:color="auto" w:sz="4" w:space="0"/>
              <w:left w:val="single" w:color="auto" w:sz="4" w:space="0"/>
              <w:bottom w:val="single" w:color="auto" w:sz="4" w:space="0"/>
              <w:right w:val="single" w:color="auto" w:sz="4" w:space="0"/>
            </w:tcBorders>
            <w:vAlign w:val="center"/>
          </w:tcPr>
          <w:p w14:paraId="32037C47">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退还响应保证金的时间</w:t>
            </w:r>
          </w:p>
        </w:tc>
        <w:tc>
          <w:tcPr>
            <w:tcW w:w="4536" w:type="dxa"/>
            <w:tcBorders>
              <w:top w:val="single" w:color="auto" w:sz="4" w:space="0"/>
              <w:left w:val="single" w:color="auto" w:sz="4" w:space="0"/>
              <w:bottom w:val="single" w:color="auto" w:sz="4" w:space="0"/>
              <w:right w:val="single" w:color="auto" w:sz="4" w:space="0"/>
            </w:tcBorders>
            <w:vAlign w:val="center"/>
          </w:tcPr>
          <w:p w14:paraId="1877A9B5">
            <w:pPr>
              <w:snapToGrid w:val="0"/>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r>
      <w:tr w14:paraId="1B77CBB3">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573F3F36">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3.4.3（3）</w:t>
            </w:r>
          </w:p>
        </w:tc>
        <w:tc>
          <w:tcPr>
            <w:tcW w:w="3211" w:type="dxa"/>
            <w:tcBorders>
              <w:top w:val="single" w:color="auto" w:sz="4" w:space="0"/>
              <w:left w:val="single" w:color="auto" w:sz="4" w:space="0"/>
              <w:bottom w:val="single" w:color="auto" w:sz="4" w:space="0"/>
              <w:right w:val="single" w:color="auto" w:sz="4" w:space="0"/>
            </w:tcBorders>
            <w:vAlign w:val="center"/>
          </w:tcPr>
          <w:p w14:paraId="23C29F3C">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不退还响应保证金的其他情形</w:t>
            </w:r>
          </w:p>
        </w:tc>
        <w:tc>
          <w:tcPr>
            <w:tcW w:w="4536" w:type="dxa"/>
            <w:tcBorders>
              <w:top w:val="single" w:color="auto" w:sz="4" w:space="0"/>
              <w:left w:val="single" w:color="auto" w:sz="4" w:space="0"/>
              <w:bottom w:val="single" w:color="auto" w:sz="4" w:space="0"/>
              <w:right w:val="single" w:color="auto" w:sz="4" w:space="0"/>
            </w:tcBorders>
            <w:vAlign w:val="center"/>
          </w:tcPr>
          <w:p w14:paraId="138862B1">
            <w:pPr>
              <w:topLinePunct/>
              <w:snapToGrid w:val="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w:t>
            </w:r>
          </w:p>
        </w:tc>
      </w:tr>
      <w:tr w14:paraId="67DAB7B0">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6D25152C">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3.6.1</w:t>
            </w:r>
          </w:p>
        </w:tc>
        <w:tc>
          <w:tcPr>
            <w:tcW w:w="3211" w:type="dxa"/>
            <w:tcBorders>
              <w:top w:val="single" w:color="auto" w:sz="4" w:space="0"/>
              <w:left w:val="single" w:color="auto" w:sz="4" w:space="0"/>
              <w:bottom w:val="single" w:color="auto" w:sz="4" w:space="0"/>
              <w:right w:val="single" w:color="auto" w:sz="4" w:space="0"/>
            </w:tcBorders>
            <w:vAlign w:val="center"/>
          </w:tcPr>
          <w:p w14:paraId="28CC53AC">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对关键条款进行响应的证据或证明材料要求</w:t>
            </w:r>
          </w:p>
        </w:tc>
        <w:tc>
          <w:tcPr>
            <w:tcW w:w="4536" w:type="dxa"/>
            <w:tcBorders>
              <w:top w:val="single" w:color="auto" w:sz="4" w:space="0"/>
              <w:left w:val="single" w:color="auto" w:sz="4" w:space="0"/>
              <w:bottom w:val="single" w:color="auto" w:sz="4" w:space="0"/>
              <w:right w:val="single" w:color="auto" w:sz="4" w:space="0"/>
            </w:tcBorders>
            <w:vAlign w:val="center"/>
          </w:tcPr>
          <w:p w14:paraId="77B97CC4">
            <w:pPr>
              <w:numPr>
                <w:ilvl w:val="255"/>
                <w:numId w:val="0"/>
              </w:numPr>
              <w:topLinePunct/>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见询比采购文件第五章“服务需求</w:t>
            </w:r>
            <w:r>
              <w:rPr>
                <w:rFonts w:hint="eastAsia" w:ascii="仿宋" w:hAnsi="仿宋" w:eastAsia="仿宋" w:cs="仿宋"/>
                <w:color w:val="auto"/>
                <w:kern w:val="2"/>
                <w:sz w:val="24"/>
                <w:szCs w:val="24"/>
                <w:highlight w:val="none"/>
                <w:lang w:val="en-US" w:eastAsia="zh-CN" w:bidi="ar-SA"/>
              </w:rPr>
              <w:t>”</w:t>
            </w:r>
          </w:p>
        </w:tc>
      </w:tr>
      <w:tr w14:paraId="7310EA39">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5DC1D947">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3.7.4</w:t>
            </w:r>
          </w:p>
        </w:tc>
        <w:tc>
          <w:tcPr>
            <w:tcW w:w="3211" w:type="dxa"/>
            <w:tcBorders>
              <w:top w:val="single" w:color="auto" w:sz="4" w:space="0"/>
              <w:left w:val="single" w:color="auto" w:sz="4" w:space="0"/>
              <w:bottom w:val="single" w:color="auto" w:sz="4" w:space="0"/>
              <w:right w:val="single" w:color="auto" w:sz="4" w:space="0"/>
            </w:tcBorders>
            <w:vAlign w:val="center"/>
          </w:tcPr>
          <w:p w14:paraId="66A542DF">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纸质响应</w:t>
            </w:r>
            <w:r>
              <w:rPr>
                <w:rFonts w:hint="eastAsia" w:ascii="仿宋" w:hAnsi="仿宋" w:eastAsia="仿宋" w:cs="仿宋"/>
                <w:color w:val="auto"/>
                <w:sz w:val="24"/>
                <w:szCs w:val="24"/>
                <w:highlight w:val="none"/>
              </w:rPr>
              <w:t>文件递交</w:t>
            </w:r>
          </w:p>
        </w:tc>
        <w:tc>
          <w:tcPr>
            <w:tcW w:w="4536" w:type="dxa"/>
            <w:tcBorders>
              <w:top w:val="single" w:color="auto" w:sz="4" w:space="0"/>
              <w:left w:val="single" w:color="auto" w:sz="4" w:space="0"/>
              <w:bottom w:val="single" w:color="auto" w:sz="4" w:space="0"/>
              <w:right w:val="single" w:color="auto" w:sz="4" w:space="0"/>
            </w:tcBorders>
            <w:vAlign w:val="center"/>
          </w:tcPr>
          <w:p w14:paraId="1185B7A1">
            <w:pPr>
              <w:pStyle w:val="52"/>
              <w:spacing w:line="36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具体要求如下：</w:t>
            </w:r>
            <w:r>
              <w:rPr>
                <w:rFonts w:hint="eastAsia" w:ascii="仿宋" w:hAnsi="仿宋" w:eastAsia="仿宋" w:cs="仿宋"/>
                <w:b/>
                <w:bCs/>
                <w:color w:val="auto"/>
                <w:sz w:val="24"/>
                <w:szCs w:val="24"/>
                <w:highlight w:val="none"/>
                <w:lang w:val="en-US" w:eastAsia="zh-CN"/>
              </w:rPr>
              <w:t>正本一份</w:t>
            </w:r>
          </w:p>
          <w:p w14:paraId="7F5B943E">
            <w:pPr>
              <w:pStyle w:val="52"/>
              <w:spacing w:line="360" w:lineRule="auto"/>
              <w:ind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文件递交的截止时间前在</w:t>
            </w:r>
            <w:r>
              <w:rPr>
                <w:rFonts w:hint="eastAsia" w:ascii="仿宋" w:hAnsi="仿宋" w:eastAsia="仿宋" w:cs="仿宋"/>
                <w:color w:val="auto"/>
                <w:sz w:val="24"/>
                <w:szCs w:val="24"/>
                <w:highlight w:val="none"/>
                <w:lang w:val="en-US" w:eastAsia="zh-CN"/>
              </w:rPr>
              <w:t>响应文件开启</w:t>
            </w:r>
            <w:r>
              <w:rPr>
                <w:rFonts w:hint="eastAsia" w:ascii="仿宋" w:hAnsi="仿宋" w:eastAsia="仿宋" w:cs="仿宋"/>
                <w:color w:val="auto"/>
                <w:sz w:val="24"/>
                <w:szCs w:val="24"/>
                <w:highlight w:val="none"/>
              </w:rPr>
              <w:t>地点递交，否则</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人不予接收。</w:t>
            </w:r>
          </w:p>
        </w:tc>
      </w:tr>
      <w:tr w14:paraId="5A40E939">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5F810EB2">
            <w:pPr>
              <w:pStyle w:val="5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4.1.2</w:t>
            </w:r>
          </w:p>
        </w:tc>
        <w:tc>
          <w:tcPr>
            <w:tcW w:w="3211" w:type="dxa"/>
            <w:tcBorders>
              <w:top w:val="single" w:color="auto" w:sz="4" w:space="0"/>
              <w:left w:val="single" w:color="auto" w:sz="4" w:space="0"/>
              <w:bottom w:val="single" w:color="auto" w:sz="4" w:space="0"/>
              <w:right w:val="single" w:color="auto" w:sz="4" w:space="0"/>
            </w:tcBorders>
            <w:vAlign w:val="center"/>
          </w:tcPr>
          <w:p w14:paraId="0EEEC190">
            <w:pPr>
              <w:pStyle w:val="5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纸质响应</w:t>
            </w:r>
            <w:r>
              <w:rPr>
                <w:rFonts w:hint="eastAsia" w:ascii="仿宋" w:hAnsi="仿宋" w:eastAsia="仿宋" w:cs="仿宋"/>
                <w:color w:val="auto"/>
                <w:sz w:val="24"/>
                <w:szCs w:val="24"/>
                <w:highlight w:val="none"/>
              </w:rPr>
              <w:t>文件密封和标记要求</w:t>
            </w:r>
          </w:p>
        </w:tc>
        <w:tc>
          <w:tcPr>
            <w:tcW w:w="4536" w:type="dxa"/>
            <w:tcBorders>
              <w:top w:val="single" w:color="auto" w:sz="4" w:space="0"/>
              <w:left w:val="single" w:color="auto" w:sz="4" w:space="0"/>
              <w:bottom w:val="single" w:color="auto" w:sz="4" w:space="0"/>
              <w:right w:val="single" w:color="auto" w:sz="4" w:space="0"/>
            </w:tcBorders>
            <w:vAlign w:val="center"/>
          </w:tcPr>
          <w:p w14:paraId="57CCB0E2">
            <w:pPr>
              <w:pStyle w:val="52"/>
              <w:spacing w:line="360" w:lineRule="auto"/>
              <w:ind w:firstLine="0" w:firstLineChars="0"/>
              <w:rPr>
                <w:rFonts w:hint="eastAsia" w:ascii="仿宋" w:hAnsi="仿宋" w:eastAsia="仿宋" w:cs="仿宋"/>
                <w:color w:val="auto"/>
                <w:sz w:val="24"/>
                <w:szCs w:val="24"/>
                <w:highlight w:val="none"/>
              </w:rPr>
            </w:pPr>
            <w:r>
              <w:rPr>
                <w:rFonts w:hint="eastAsia" w:ascii="Times New Roman" w:hAnsi="Times New Roman" w:eastAsia="仿宋" w:cs="Times New Roman"/>
                <w:color w:val="auto"/>
                <w:sz w:val="24"/>
                <w:szCs w:val="24"/>
                <w:highlight w:val="none"/>
                <w:lang w:val="en-US" w:eastAsia="zh-CN"/>
              </w:rPr>
              <w:t>应密封包装</w:t>
            </w:r>
            <w:r>
              <w:rPr>
                <w:rFonts w:hint="eastAsia" w:ascii="Times New Roman" w:hAnsi="Times New Roman" w:eastAsia="仿宋"/>
                <w:color w:val="auto"/>
                <w:sz w:val="24"/>
                <w:szCs w:val="24"/>
                <w:highlight w:val="none"/>
                <w:lang w:eastAsia="zh-CN"/>
              </w:rPr>
              <w:t>。</w:t>
            </w:r>
          </w:p>
        </w:tc>
      </w:tr>
      <w:tr w14:paraId="613843BC">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36527F6E">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4.2.1</w:t>
            </w:r>
          </w:p>
        </w:tc>
        <w:tc>
          <w:tcPr>
            <w:tcW w:w="3211" w:type="dxa"/>
            <w:tcBorders>
              <w:top w:val="single" w:color="auto" w:sz="4" w:space="0"/>
              <w:left w:val="single" w:color="auto" w:sz="4" w:space="0"/>
              <w:bottom w:val="single" w:color="auto" w:sz="4" w:space="0"/>
              <w:right w:val="single" w:color="auto" w:sz="4" w:space="0"/>
            </w:tcBorders>
            <w:vAlign w:val="center"/>
          </w:tcPr>
          <w:p w14:paraId="6535C068">
            <w:pPr>
              <w:snapToGrid w:val="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递交响应文件截止时间</w:t>
            </w:r>
            <w:r>
              <w:rPr>
                <w:rFonts w:hint="eastAsia" w:ascii="仿宋" w:hAnsi="仿宋" w:eastAsia="仿宋" w:cs="仿宋"/>
                <w:color w:val="auto"/>
                <w:sz w:val="24"/>
                <w:szCs w:val="24"/>
                <w:highlight w:val="none"/>
                <w:lang w:val="en-US" w:eastAsia="zh-CN"/>
              </w:rPr>
              <w:t>及</w:t>
            </w:r>
            <w:r>
              <w:rPr>
                <w:rFonts w:hint="eastAsia" w:ascii="仿宋" w:hAnsi="仿宋" w:eastAsia="仿宋" w:cs="仿宋"/>
                <w:color w:val="auto"/>
                <w:sz w:val="24"/>
                <w:szCs w:val="24"/>
                <w:highlight w:val="none"/>
              </w:rPr>
              <w:t>递交响应文件地点</w:t>
            </w:r>
          </w:p>
        </w:tc>
        <w:tc>
          <w:tcPr>
            <w:tcW w:w="4536" w:type="dxa"/>
            <w:tcBorders>
              <w:top w:val="single" w:color="auto" w:sz="4" w:space="0"/>
              <w:left w:val="single" w:color="auto" w:sz="4" w:space="0"/>
              <w:bottom w:val="single" w:color="auto" w:sz="4" w:space="0"/>
              <w:right w:val="single" w:color="auto" w:sz="4" w:space="0"/>
            </w:tcBorders>
            <w:vAlign w:val="center"/>
          </w:tcPr>
          <w:p w14:paraId="61D6C80A">
            <w:pPr>
              <w:snapToGrid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见第一章“询比采购公告”</w:t>
            </w:r>
          </w:p>
        </w:tc>
      </w:tr>
      <w:tr w14:paraId="4003FA70">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443C7915">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w:t>
            </w:r>
            <w:r>
              <w:rPr>
                <w:rFonts w:hint="eastAsia" w:ascii="仿宋" w:hAnsi="仿宋" w:eastAsia="仿宋" w:cs="仿宋"/>
                <w:color w:val="auto"/>
                <w:sz w:val="24"/>
                <w:szCs w:val="24"/>
                <w:highlight w:val="none"/>
                <w:lang w:val="en-US" w:eastAsia="zh-CN"/>
              </w:rPr>
              <w:t>2</w:t>
            </w:r>
          </w:p>
        </w:tc>
        <w:tc>
          <w:tcPr>
            <w:tcW w:w="3211" w:type="dxa"/>
            <w:tcBorders>
              <w:top w:val="single" w:color="auto" w:sz="4" w:space="0"/>
              <w:left w:val="single" w:color="auto" w:sz="4" w:space="0"/>
              <w:bottom w:val="single" w:color="auto" w:sz="4" w:space="0"/>
              <w:right w:val="single" w:color="auto" w:sz="4" w:space="0"/>
            </w:tcBorders>
            <w:vAlign w:val="center"/>
          </w:tcPr>
          <w:p w14:paraId="09915189">
            <w:pPr>
              <w:snapToGrid w:val="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是否退还响应文件</w:t>
            </w:r>
          </w:p>
        </w:tc>
        <w:tc>
          <w:tcPr>
            <w:tcW w:w="4536" w:type="dxa"/>
            <w:tcBorders>
              <w:top w:val="single" w:color="auto" w:sz="4" w:space="0"/>
              <w:left w:val="single" w:color="auto" w:sz="4" w:space="0"/>
              <w:bottom w:val="single" w:color="auto" w:sz="4" w:space="0"/>
              <w:right w:val="single" w:color="auto" w:sz="4" w:space="0"/>
            </w:tcBorders>
            <w:vAlign w:val="center"/>
          </w:tcPr>
          <w:p w14:paraId="7BDE49ED">
            <w:pPr>
              <w:pStyle w:val="12"/>
              <w:topLinePunct/>
              <w:snapToGrid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sym w:font="Wingdings 2" w:char="0052"/>
            </w:r>
            <w:r>
              <w:rPr>
                <w:rFonts w:hint="eastAsia" w:ascii="仿宋" w:hAnsi="仿宋" w:eastAsia="仿宋" w:cs="仿宋"/>
                <w:color w:val="auto"/>
                <w:sz w:val="24"/>
                <w:szCs w:val="24"/>
                <w:highlight w:val="none"/>
              </w:rPr>
              <w:t>否</w:t>
            </w:r>
          </w:p>
          <w:p w14:paraId="6ED4CC44">
            <w:pPr>
              <w:snapToGrid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sym w:font="Wingdings 2" w:char="00A3"/>
            </w:r>
            <w:r>
              <w:rPr>
                <w:rFonts w:hint="eastAsia" w:ascii="仿宋" w:hAnsi="仿宋" w:eastAsia="仿宋" w:cs="仿宋"/>
                <w:color w:val="auto"/>
                <w:sz w:val="24"/>
                <w:szCs w:val="24"/>
                <w:highlight w:val="none"/>
              </w:rPr>
              <w:t>是，退还时间：</w:t>
            </w:r>
            <w:r>
              <w:rPr>
                <w:rFonts w:hint="eastAsia" w:ascii="仿宋" w:hAnsi="仿宋" w:eastAsia="仿宋" w:cs="仿宋"/>
                <w:color w:val="auto"/>
                <w:sz w:val="24"/>
                <w:szCs w:val="24"/>
                <w:highlight w:val="none"/>
                <w:u w:val="single"/>
                <w:lang w:val="en-US" w:eastAsia="zh-CN"/>
              </w:rPr>
              <w:t>/</w:t>
            </w:r>
          </w:p>
        </w:tc>
      </w:tr>
      <w:tr w14:paraId="467E5A01">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right w:val="single" w:color="auto" w:sz="4" w:space="0"/>
            </w:tcBorders>
            <w:vAlign w:val="center"/>
          </w:tcPr>
          <w:p w14:paraId="2CAAB5F0">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w:t>
            </w:r>
          </w:p>
        </w:tc>
        <w:tc>
          <w:tcPr>
            <w:tcW w:w="3211" w:type="dxa"/>
            <w:tcBorders>
              <w:top w:val="single" w:color="auto" w:sz="4" w:space="0"/>
              <w:left w:val="single" w:color="auto" w:sz="4" w:space="0"/>
              <w:right w:val="single" w:color="auto" w:sz="4" w:space="0"/>
            </w:tcBorders>
            <w:vAlign w:val="center"/>
          </w:tcPr>
          <w:p w14:paraId="7CA9D01C">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开启程序</w:t>
            </w:r>
          </w:p>
        </w:tc>
        <w:tc>
          <w:tcPr>
            <w:tcW w:w="4536" w:type="dxa"/>
            <w:tcBorders>
              <w:top w:val="single" w:color="auto" w:sz="4" w:space="0"/>
              <w:left w:val="single" w:color="auto" w:sz="4" w:space="0"/>
              <w:right w:val="single" w:color="auto" w:sz="4" w:space="0"/>
            </w:tcBorders>
            <w:vAlign w:val="center"/>
          </w:tcPr>
          <w:p w14:paraId="4F0D075E">
            <w:pPr>
              <w:snapToGrid w:val="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多</w:t>
            </w:r>
            <w:r>
              <w:rPr>
                <w:rFonts w:hint="eastAsia" w:ascii="仿宋" w:hAnsi="仿宋" w:eastAsia="仿宋" w:cs="仿宋"/>
                <w:color w:val="auto"/>
                <w:sz w:val="24"/>
                <w:szCs w:val="24"/>
                <w:highlight w:val="none"/>
                <w:lang w:val="en-US" w:eastAsia="zh-CN"/>
              </w:rPr>
              <w:t>采购包</w:t>
            </w:r>
            <w:r>
              <w:rPr>
                <w:rFonts w:hint="eastAsia" w:ascii="仿宋" w:hAnsi="仿宋" w:eastAsia="仿宋" w:cs="仿宋"/>
                <w:color w:val="auto"/>
                <w:sz w:val="24"/>
                <w:szCs w:val="24"/>
                <w:highlight w:val="none"/>
              </w:rPr>
              <w:t>开</w:t>
            </w:r>
            <w:r>
              <w:rPr>
                <w:rFonts w:hint="eastAsia" w:ascii="仿宋" w:hAnsi="仿宋" w:eastAsia="仿宋" w:cs="仿宋"/>
                <w:color w:val="auto"/>
                <w:sz w:val="24"/>
                <w:szCs w:val="24"/>
                <w:highlight w:val="none"/>
                <w:lang w:val="en-US" w:eastAsia="zh-CN"/>
              </w:rPr>
              <w:t>启</w:t>
            </w:r>
            <w:r>
              <w:rPr>
                <w:rFonts w:hint="eastAsia" w:ascii="仿宋" w:hAnsi="仿宋" w:eastAsia="仿宋" w:cs="仿宋"/>
                <w:color w:val="auto"/>
                <w:sz w:val="24"/>
                <w:szCs w:val="24"/>
                <w:highlight w:val="none"/>
              </w:rPr>
              <w:t>顺序：</w:t>
            </w:r>
            <w:r>
              <w:rPr>
                <w:rFonts w:hint="eastAsia" w:ascii="仿宋" w:hAnsi="仿宋" w:eastAsia="仿宋" w:cs="仿宋"/>
                <w:color w:val="auto"/>
                <w:sz w:val="24"/>
                <w:szCs w:val="24"/>
                <w:highlight w:val="none"/>
                <w:lang w:val="en-US" w:eastAsia="zh-CN"/>
              </w:rPr>
              <w:t>随机</w:t>
            </w:r>
          </w:p>
        </w:tc>
      </w:tr>
      <w:tr w14:paraId="3909B3B5">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right w:val="single" w:color="auto" w:sz="4" w:space="0"/>
            </w:tcBorders>
            <w:vAlign w:val="center"/>
          </w:tcPr>
          <w:p w14:paraId="5C5BA2C2">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w:t>
            </w:r>
          </w:p>
        </w:tc>
        <w:tc>
          <w:tcPr>
            <w:tcW w:w="3211" w:type="dxa"/>
            <w:tcBorders>
              <w:top w:val="single" w:color="auto" w:sz="4" w:space="0"/>
              <w:left w:val="single" w:color="auto" w:sz="4" w:space="0"/>
              <w:right w:val="single" w:color="auto" w:sz="4" w:space="0"/>
            </w:tcBorders>
            <w:vAlign w:val="center"/>
          </w:tcPr>
          <w:p w14:paraId="388D6424">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递交响应文件的供应商</w:t>
            </w:r>
          </w:p>
          <w:p w14:paraId="23AF2C96">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不足的情形</w:t>
            </w:r>
          </w:p>
        </w:tc>
        <w:tc>
          <w:tcPr>
            <w:tcW w:w="4536" w:type="dxa"/>
            <w:tcBorders>
              <w:top w:val="single" w:color="auto" w:sz="4" w:space="0"/>
              <w:left w:val="single" w:color="auto" w:sz="4" w:space="0"/>
              <w:right w:val="single" w:color="auto" w:sz="4" w:space="0"/>
            </w:tcBorders>
            <w:vAlign w:val="center"/>
          </w:tcPr>
          <w:p w14:paraId="0BE9BEF5">
            <w:pPr>
              <w:pStyle w:val="12"/>
              <w:topLinePunct/>
              <w:snapToGrid w:val="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成交供应商为多家时，供应商不足的数量要求：</w:t>
            </w:r>
            <w:r>
              <w:rPr>
                <w:rFonts w:hint="eastAsia" w:ascii="仿宋" w:hAnsi="仿宋" w:eastAsia="仿宋" w:cs="仿宋"/>
                <w:color w:val="auto"/>
                <w:sz w:val="24"/>
                <w:szCs w:val="24"/>
                <w:highlight w:val="none"/>
                <w:lang w:val="en-US" w:eastAsia="zh-CN"/>
              </w:rPr>
              <w:t>/</w:t>
            </w:r>
          </w:p>
        </w:tc>
      </w:tr>
      <w:tr w14:paraId="16B17FC8">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right w:val="single" w:color="auto" w:sz="4" w:space="0"/>
            </w:tcBorders>
            <w:vAlign w:val="center"/>
          </w:tcPr>
          <w:p w14:paraId="2C8A29F8">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6.2.2</w:t>
            </w:r>
          </w:p>
        </w:tc>
        <w:tc>
          <w:tcPr>
            <w:tcW w:w="3211" w:type="dxa"/>
            <w:tcBorders>
              <w:top w:val="single" w:color="auto" w:sz="4" w:space="0"/>
              <w:left w:val="single" w:color="auto" w:sz="4" w:space="0"/>
              <w:right w:val="single" w:color="auto" w:sz="4" w:space="0"/>
            </w:tcBorders>
            <w:vAlign w:val="center"/>
          </w:tcPr>
          <w:p w14:paraId="47933F62">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推荐候选成交供应商的</w:t>
            </w:r>
          </w:p>
          <w:p w14:paraId="371EEC68">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排序及数量</w:t>
            </w:r>
          </w:p>
        </w:tc>
        <w:tc>
          <w:tcPr>
            <w:tcW w:w="4536" w:type="dxa"/>
            <w:tcBorders>
              <w:top w:val="single" w:color="auto" w:sz="4" w:space="0"/>
              <w:left w:val="single" w:color="auto" w:sz="4" w:space="0"/>
              <w:right w:val="single" w:color="auto" w:sz="4" w:space="0"/>
            </w:tcBorders>
            <w:vAlign w:val="center"/>
          </w:tcPr>
          <w:p w14:paraId="5CADFD4D">
            <w:pPr>
              <w:pStyle w:val="12"/>
              <w:topLinePunct/>
              <w:snapToGrid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是否排序：</w:t>
            </w:r>
          </w:p>
          <w:p w14:paraId="3DD1C5F4">
            <w:pPr>
              <w:pStyle w:val="12"/>
              <w:topLinePunct/>
              <w:snapToGrid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sym w:font="Wingdings 2" w:char="00A3"/>
            </w:r>
            <w:r>
              <w:rPr>
                <w:rFonts w:hint="eastAsia" w:ascii="仿宋" w:hAnsi="仿宋" w:eastAsia="仿宋" w:cs="仿宋"/>
                <w:color w:val="auto"/>
                <w:sz w:val="24"/>
                <w:szCs w:val="24"/>
                <w:highlight w:val="none"/>
              </w:rPr>
              <w:t>排序</w:t>
            </w:r>
          </w:p>
          <w:p w14:paraId="1C7E4FF9">
            <w:pPr>
              <w:pStyle w:val="12"/>
              <w:topLinePunct/>
              <w:snapToGrid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sym w:font="Wingdings 2" w:char="0052"/>
            </w:r>
            <w:r>
              <w:rPr>
                <w:rFonts w:hint="eastAsia" w:ascii="仿宋" w:hAnsi="仿宋" w:eastAsia="仿宋" w:cs="仿宋"/>
                <w:color w:val="auto"/>
                <w:sz w:val="24"/>
                <w:szCs w:val="24"/>
                <w:highlight w:val="none"/>
              </w:rPr>
              <w:t>不排序</w:t>
            </w:r>
          </w:p>
        </w:tc>
      </w:tr>
      <w:tr w14:paraId="25B6BD0D">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right w:val="single" w:color="auto" w:sz="4" w:space="0"/>
            </w:tcBorders>
            <w:vAlign w:val="center"/>
          </w:tcPr>
          <w:p w14:paraId="006EA391">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7.3</w:t>
            </w:r>
          </w:p>
        </w:tc>
        <w:tc>
          <w:tcPr>
            <w:tcW w:w="3211" w:type="dxa"/>
            <w:tcBorders>
              <w:top w:val="single" w:color="auto" w:sz="4" w:space="0"/>
              <w:left w:val="single" w:color="auto" w:sz="4" w:space="0"/>
              <w:right w:val="single" w:color="auto" w:sz="4" w:space="0"/>
            </w:tcBorders>
            <w:vAlign w:val="center"/>
          </w:tcPr>
          <w:p w14:paraId="12BC8B76">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w:t>
            </w:r>
            <w:r>
              <w:rPr>
                <w:rFonts w:hint="eastAsia" w:ascii="仿宋" w:hAnsi="仿宋" w:eastAsia="仿宋" w:cs="仿宋"/>
                <w:color w:val="auto"/>
                <w:sz w:val="24"/>
                <w:szCs w:val="24"/>
                <w:highlight w:val="none"/>
                <w:lang w:val="en-US" w:eastAsia="zh-CN"/>
              </w:rPr>
              <w:t>候选人</w:t>
            </w:r>
            <w:r>
              <w:rPr>
                <w:rFonts w:hint="eastAsia" w:ascii="仿宋" w:hAnsi="仿宋" w:eastAsia="仿宋" w:cs="仿宋"/>
                <w:color w:val="auto"/>
                <w:sz w:val="24"/>
                <w:szCs w:val="24"/>
                <w:highlight w:val="none"/>
              </w:rPr>
              <w:t>公示</w:t>
            </w:r>
          </w:p>
        </w:tc>
        <w:tc>
          <w:tcPr>
            <w:tcW w:w="4536" w:type="dxa"/>
            <w:tcBorders>
              <w:top w:val="single" w:color="auto" w:sz="4" w:space="0"/>
              <w:left w:val="single" w:color="auto" w:sz="4" w:space="0"/>
              <w:right w:val="single" w:color="auto" w:sz="4" w:space="0"/>
            </w:tcBorders>
            <w:vAlign w:val="center"/>
          </w:tcPr>
          <w:p w14:paraId="333AC239">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公示媒介：</w:t>
            </w:r>
            <w:r>
              <w:rPr>
                <w:rFonts w:hint="eastAsia" w:ascii="Times New Roman" w:hAnsi="Times New Roman" w:eastAsia="仿宋"/>
                <w:color w:val="auto"/>
                <w:sz w:val="24"/>
                <w:szCs w:val="24"/>
                <w:highlight w:val="none"/>
              </w:rPr>
              <w:t>同</w:t>
            </w:r>
            <w:r>
              <w:rPr>
                <w:rFonts w:hint="eastAsia" w:ascii="Times New Roman" w:hAnsi="Times New Roman" w:eastAsia="仿宋"/>
                <w:color w:val="auto"/>
                <w:sz w:val="24"/>
                <w:szCs w:val="24"/>
                <w:highlight w:val="none"/>
                <w:lang w:val="en-US" w:eastAsia="zh-CN"/>
              </w:rPr>
              <w:t>询比采购</w:t>
            </w:r>
            <w:r>
              <w:rPr>
                <w:rFonts w:hint="eastAsia" w:ascii="Times New Roman" w:hAnsi="Times New Roman" w:eastAsia="仿宋"/>
                <w:color w:val="auto"/>
                <w:sz w:val="24"/>
                <w:szCs w:val="24"/>
                <w:highlight w:val="none"/>
              </w:rPr>
              <w:t>公告发布媒介</w:t>
            </w:r>
          </w:p>
          <w:p w14:paraId="0709AC4D">
            <w:pPr>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公示期限：</w:t>
            </w:r>
            <w:r>
              <w:rPr>
                <w:rFonts w:hint="eastAsia" w:ascii="Times New Roman" w:hAnsi="Times New Roman" w:eastAsia="仿宋"/>
                <w:color w:val="auto"/>
                <w:sz w:val="24"/>
                <w:szCs w:val="24"/>
                <w:highlight w:val="none"/>
                <w:lang w:val="en-US" w:eastAsia="zh-CN"/>
              </w:rPr>
              <w:t>3</w:t>
            </w:r>
            <w:r>
              <w:rPr>
                <w:rFonts w:hint="eastAsia" w:ascii="Times New Roman" w:hAnsi="Times New Roman" w:eastAsia="仿宋"/>
                <w:color w:val="auto"/>
                <w:sz w:val="24"/>
                <w:szCs w:val="24"/>
                <w:highlight w:val="none"/>
              </w:rPr>
              <w:t>日（公示期截止时间在法定休息日的应顺延至首个工作日）</w:t>
            </w:r>
          </w:p>
        </w:tc>
      </w:tr>
      <w:tr w14:paraId="4A9242C4">
        <w:tblPrEx>
          <w:tblCellMar>
            <w:top w:w="0" w:type="dxa"/>
            <w:left w:w="108" w:type="dxa"/>
            <w:bottom w:w="0" w:type="dxa"/>
            <w:right w:w="108" w:type="dxa"/>
          </w:tblCellMar>
        </w:tblPrEx>
        <w:trPr>
          <w:trHeight w:val="1322" w:hRule="atLeast"/>
        </w:trPr>
        <w:tc>
          <w:tcPr>
            <w:tcW w:w="1008" w:type="dxa"/>
            <w:tcBorders>
              <w:top w:val="single" w:color="auto" w:sz="4" w:space="0"/>
              <w:left w:val="single" w:color="auto" w:sz="4" w:space="0"/>
              <w:bottom w:val="single" w:color="auto" w:sz="4" w:space="0"/>
              <w:right w:val="single" w:color="auto" w:sz="4" w:space="0"/>
            </w:tcBorders>
            <w:vAlign w:val="center"/>
          </w:tcPr>
          <w:p w14:paraId="4BFFAFD8">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7.6</w:t>
            </w:r>
          </w:p>
        </w:tc>
        <w:tc>
          <w:tcPr>
            <w:tcW w:w="3211" w:type="dxa"/>
            <w:tcBorders>
              <w:top w:val="single" w:color="auto" w:sz="4" w:space="0"/>
              <w:left w:val="single" w:color="auto" w:sz="4" w:space="0"/>
              <w:bottom w:val="single" w:color="auto" w:sz="4" w:space="0"/>
              <w:right w:val="single" w:color="auto" w:sz="4" w:space="0"/>
            </w:tcBorders>
            <w:vAlign w:val="center"/>
          </w:tcPr>
          <w:p w14:paraId="61FD1326">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履约保证金</w:t>
            </w:r>
          </w:p>
        </w:tc>
        <w:tc>
          <w:tcPr>
            <w:tcW w:w="4536" w:type="dxa"/>
            <w:tcBorders>
              <w:top w:val="single" w:color="auto" w:sz="4" w:space="0"/>
              <w:left w:val="single" w:color="auto" w:sz="4" w:space="0"/>
              <w:bottom w:val="single" w:color="auto" w:sz="4" w:space="0"/>
              <w:right w:val="single" w:color="auto" w:sz="4" w:space="0"/>
            </w:tcBorders>
            <w:vAlign w:val="center"/>
          </w:tcPr>
          <w:p w14:paraId="16B396E5">
            <w:pPr>
              <w:snapToGrid w:val="0"/>
              <w:spacing w:line="360" w:lineRule="auto"/>
              <w:jc w:val="left"/>
              <w:rPr>
                <w:rFonts w:hint="eastAsia" w:ascii="Times New Roman" w:hAnsi="Times New Roman" w:eastAsia="仿宋" w:cs="Times New Roman"/>
                <w:b w:val="0"/>
                <w:bCs w:val="0"/>
                <w:snapToGrid/>
                <w:color w:val="auto"/>
                <w:sz w:val="24"/>
                <w:szCs w:val="24"/>
                <w:highlight w:val="none"/>
              </w:rPr>
            </w:pPr>
            <w:r>
              <w:rPr>
                <w:rFonts w:hint="eastAsia" w:ascii="Times New Roman" w:hAnsi="Times New Roman" w:eastAsia="仿宋" w:cs="Times New Roman"/>
                <w:snapToGrid/>
                <w:color w:val="auto"/>
                <w:sz w:val="24"/>
                <w:szCs w:val="24"/>
                <w:highlight w:val="none"/>
              </w:rPr>
              <w:t>是否要求</w:t>
            </w:r>
            <w:r>
              <w:rPr>
                <w:rFonts w:hint="eastAsia" w:ascii="Times New Roman" w:hAnsi="Times New Roman" w:eastAsia="仿宋" w:cs="Times New Roman"/>
                <w:snapToGrid/>
                <w:color w:val="auto"/>
                <w:sz w:val="24"/>
                <w:szCs w:val="24"/>
                <w:highlight w:val="none"/>
                <w:lang w:val="en-US" w:eastAsia="zh-CN"/>
              </w:rPr>
              <w:t>供应商</w:t>
            </w:r>
            <w:r>
              <w:rPr>
                <w:rFonts w:hint="eastAsia" w:ascii="Times New Roman" w:hAnsi="Times New Roman" w:eastAsia="仿宋" w:cs="Times New Roman"/>
                <w:snapToGrid/>
                <w:color w:val="auto"/>
                <w:sz w:val="24"/>
                <w:szCs w:val="24"/>
                <w:highlight w:val="none"/>
              </w:rPr>
              <w:t>递交</w:t>
            </w:r>
            <w:r>
              <w:rPr>
                <w:rFonts w:hint="eastAsia" w:ascii="Times New Roman" w:hAnsi="Times New Roman" w:eastAsia="仿宋" w:cs="Times New Roman"/>
                <w:color w:val="auto"/>
                <w:sz w:val="24"/>
                <w:szCs w:val="24"/>
                <w:highlight w:val="none"/>
              </w:rPr>
              <w:t>履约保证金</w:t>
            </w:r>
            <w:r>
              <w:rPr>
                <w:rFonts w:hint="eastAsia" w:ascii="Times New Roman" w:hAnsi="Times New Roman" w:eastAsia="仿宋" w:cs="Times New Roman"/>
                <w:snapToGrid/>
                <w:color w:val="auto"/>
                <w:sz w:val="24"/>
                <w:szCs w:val="24"/>
                <w:highlight w:val="none"/>
              </w:rPr>
              <w:t>：</w:t>
            </w:r>
          </w:p>
          <w:p w14:paraId="70458FC2">
            <w:pPr>
              <w:snapToGrid w:val="0"/>
              <w:spacing w:line="360" w:lineRule="auto"/>
              <w:jc w:val="left"/>
              <w:rPr>
                <w:rFonts w:hint="eastAsia" w:ascii="仿宋" w:hAnsi="仿宋" w:eastAsia="仿宋" w:cs="仿宋"/>
                <w:color w:val="auto"/>
                <w:sz w:val="24"/>
                <w:szCs w:val="24"/>
                <w:highlight w:val="none"/>
              </w:rPr>
            </w:pPr>
            <w:r>
              <w:rPr>
                <w:rFonts w:hint="eastAsia" w:ascii="Times New Roman" w:hAnsi="Times New Roman" w:eastAsia="仿宋" w:cs="Times New Roman"/>
                <w:snapToGrid/>
                <w:color w:val="auto"/>
                <w:sz w:val="24"/>
                <w:szCs w:val="24"/>
                <w:highlight w:val="none"/>
              </w:rPr>
              <w:t>不要求</w:t>
            </w:r>
          </w:p>
        </w:tc>
      </w:tr>
      <w:tr w14:paraId="063C81F4">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046A7D42">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7.7.4</w:t>
            </w:r>
          </w:p>
        </w:tc>
        <w:tc>
          <w:tcPr>
            <w:tcW w:w="3211" w:type="dxa"/>
            <w:tcBorders>
              <w:top w:val="single" w:color="auto" w:sz="4" w:space="0"/>
              <w:left w:val="single" w:color="auto" w:sz="4" w:space="0"/>
              <w:bottom w:val="single" w:color="auto" w:sz="4" w:space="0"/>
              <w:right w:val="single" w:color="auto" w:sz="4" w:space="0"/>
            </w:tcBorders>
            <w:vAlign w:val="center"/>
          </w:tcPr>
          <w:p w14:paraId="17E81E9B">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签约合同价</w:t>
            </w:r>
          </w:p>
        </w:tc>
        <w:tc>
          <w:tcPr>
            <w:tcW w:w="4536" w:type="dxa"/>
            <w:tcBorders>
              <w:top w:val="single" w:color="auto" w:sz="4" w:space="0"/>
              <w:left w:val="single" w:color="auto" w:sz="4" w:space="0"/>
              <w:bottom w:val="single" w:color="auto" w:sz="4" w:space="0"/>
              <w:right w:val="single" w:color="auto" w:sz="4" w:space="0"/>
            </w:tcBorders>
            <w:vAlign w:val="center"/>
          </w:tcPr>
          <w:p w14:paraId="14BCD1C2">
            <w:pPr>
              <w:snapToGrid w:val="0"/>
              <w:spacing w:line="360" w:lineRule="auto"/>
              <w:jc w:val="left"/>
              <w:rPr>
                <w:rFonts w:hint="default"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w:t>
            </w:r>
          </w:p>
        </w:tc>
      </w:tr>
      <w:tr w14:paraId="0C75D9E5">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0E580E57">
            <w:pPr>
              <w:snapToGrid w:val="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8.1</w:t>
            </w:r>
          </w:p>
        </w:tc>
        <w:tc>
          <w:tcPr>
            <w:tcW w:w="3211" w:type="dxa"/>
            <w:tcBorders>
              <w:top w:val="single" w:color="auto" w:sz="4" w:space="0"/>
              <w:left w:val="single" w:color="auto" w:sz="4" w:space="0"/>
              <w:bottom w:val="single" w:color="auto" w:sz="4" w:space="0"/>
              <w:right w:val="single" w:color="auto" w:sz="4" w:space="0"/>
            </w:tcBorders>
            <w:vAlign w:val="center"/>
          </w:tcPr>
          <w:p w14:paraId="411241E9">
            <w:pPr>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需要补充的其他内容</w:t>
            </w:r>
          </w:p>
        </w:tc>
        <w:tc>
          <w:tcPr>
            <w:tcW w:w="4536" w:type="dxa"/>
            <w:tcBorders>
              <w:top w:val="single" w:color="auto" w:sz="4" w:space="0"/>
              <w:left w:val="single" w:color="auto" w:sz="4" w:space="0"/>
              <w:bottom w:val="single" w:color="auto" w:sz="4" w:space="0"/>
              <w:right w:val="single" w:color="auto" w:sz="4" w:space="0"/>
            </w:tcBorders>
            <w:vAlign w:val="center"/>
          </w:tcPr>
          <w:p w14:paraId="53200694">
            <w:pPr>
              <w:snapToGrid w:val="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（1）若递交响应文件的供应商数量低于成交供应商数量，则全部入围；</w:t>
            </w:r>
          </w:p>
          <w:p w14:paraId="6660C261">
            <w:pPr>
              <w:snapToGrid w:val="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（2）供应商参与多个采购包项目，可只递交一份投标文件，须标注清楚参与采购包别。</w:t>
            </w:r>
          </w:p>
        </w:tc>
      </w:tr>
      <w:tr w14:paraId="7B4C5F76">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70CA0704">
            <w:pPr>
              <w:spacing w:line="440" w:lineRule="exact"/>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8.2</w:t>
            </w:r>
          </w:p>
        </w:tc>
        <w:tc>
          <w:tcPr>
            <w:tcW w:w="3211" w:type="dxa"/>
            <w:tcBorders>
              <w:top w:val="single" w:color="auto" w:sz="4" w:space="0"/>
              <w:left w:val="single" w:color="auto" w:sz="4" w:space="0"/>
              <w:bottom w:val="single" w:color="auto" w:sz="4" w:space="0"/>
              <w:right w:val="single" w:color="auto" w:sz="4" w:space="0"/>
            </w:tcBorders>
            <w:vAlign w:val="center"/>
          </w:tcPr>
          <w:p w14:paraId="06CA45D6">
            <w:pPr>
              <w:snapToGrid w:val="0"/>
              <w:spacing w:line="360" w:lineRule="auto"/>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同义词语</w:t>
            </w:r>
          </w:p>
        </w:tc>
        <w:tc>
          <w:tcPr>
            <w:tcW w:w="4536" w:type="dxa"/>
            <w:tcBorders>
              <w:top w:val="single" w:color="auto" w:sz="4" w:space="0"/>
              <w:left w:val="single" w:color="auto" w:sz="4" w:space="0"/>
              <w:bottom w:val="single" w:color="auto" w:sz="4" w:space="0"/>
              <w:right w:val="single" w:color="auto" w:sz="4" w:space="0"/>
            </w:tcBorders>
            <w:vAlign w:val="center"/>
          </w:tcPr>
          <w:p w14:paraId="27E892D2">
            <w:pPr>
              <w:widowControl/>
              <w:snapToGrid w:val="0"/>
              <w:spacing w:line="360" w:lineRule="auto"/>
              <w:jc w:val="left"/>
              <w:rPr>
                <w:rFonts w:hint="eastAsia" w:ascii="仿宋" w:hAnsi="仿宋" w:eastAsia="仿宋" w:cs="仿宋"/>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rPr>
              <w:t>构成</w:t>
            </w:r>
            <w:r>
              <w:rPr>
                <w:rFonts w:hint="eastAsia" w:ascii="Times New Roman" w:hAnsi="Times New Roman" w:eastAsia="仿宋" w:cs="Times New Roman"/>
                <w:color w:val="auto"/>
                <w:sz w:val="24"/>
                <w:szCs w:val="24"/>
                <w:highlight w:val="none"/>
                <w:lang w:val="en-US" w:eastAsia="zh-CN"/>
              </w:rPr>
              <w:t>询比采购</w:t>
            </w:r>
            <w:r>
              <w:rPr>
                <w:rFonts w:hint="eastAsia" w:ascii="Times New Roman" w:hAnsi="Times New Roman" w:eastAsia="仿宋" w:cs="Times New Roman"/>
                <w:color w:val="auto"/>
                <w:sz w:val="24"/>
                <w:szCs w:val="24"/>
                <w:highlight w:val="none"/>
              </w:rPr>
              <w:t>文件组成部分的“合同条款”和“</w:t>
            </w:r>
            <w:r>
              <w:rPr>
                <w:rFonts w:hint="eastAsia" w:ascii="Times New Roman" w:hAnsi="Times New Roman" w:eastAsia="仿宋" w:cs="Times New Roman"/>
                <w:color w:val="auto"/>
                <w:sz w:val="24"/>
                <w:szCs w:val="24"/>
                <w:highlight w:val="none"/>
                <w:lang w:val="en-US" w:eastAsia="zh-CN"/>
              </w:rPr>
              <w:t>服务需求</w:t>
            </w:r>
            <w:r>
              <w:rPr>
                <w:rFonts w:hint="eastAsia" w:ascii="Times New Roman" w:hAnsi="Times New Roman" w:eastAsia="仿宋" w:cs="Times New Roman"/>
                <w:color w:val="auto"/>
                <w:sz w:val="24"/>
                <w:szCs w:val="24"/>
                <w:highlight w:val="none"/>
              </w:rPr>
              <w:t>”等章节中“发包人”和“</w:t>
            </w:r>
            <w:r>
              <w:rPr>
                <w:rFonts w:hint="eastAsia" w:ascii="Times New Roman" w:hAnsi="Times New Roman" w:eastAsia="仿宋" w:cs="Times New Roman"/>
                <w:color w:val="auto"/>
                <w:sz w:val="24"/>
                <w:szCs w:val="24"/>
                <w:highlight w:val="none"/>
                <w:lang w:val="en-US" w:eastAsia="zh-CN"/>
              </w:rPr>
              <w:t>承包人</w:t>
            </w:r>
            <w:r>
              <w:rPr>
                <w:rFonts w:hint="eastAsia" w:ascii="Times New Roman" w:hAnsi="Times New Roman" w:eastAsia="仿宋" w:cs="Times New Roman"/>
                <w:color w:val="auto"/>
                <w:sz w:val="24"/>
                <w:szCs w:val="24"/>
                <w:highlight w:val="none"/>
              </w:rPr>
              <w:t>”“</w:t>
            </w:r>
            <w:r>
              <w:rPr>
                <w:rFonts w:hint="eastAsia" w:ascii="Times New Roman" w:hAnsi="Times New Roman" w:eastAsia="仿宋" w:cs="Times New Roman"/>
                <w:color w:val="auto"/>
                <w:sz w:val="24"/>
                <w:szCs w:val="24"/>
                <w:highlight w:val="none"/>
                <w:lang w:val="en-US" w:eastAsia="zh-CN"/>
              </w:rPr>
              <w:t>甲方</w:t>
            </w:r>
            <w:r>
              <w:rPr>
                <w:rFonts w:hint="eastAsia" w:ascii="Times New Roman" w:hAnsi="Times New Roman" w:eastAsia="仿宋" w:cs="Times New Roman"/>
                <w:color w:val="auto"/>
                <w:sz w:val="24"/>
                <w:szCs w:val="24"/>
                <w:highlight w:val="none"/>
              </w:rPr>
              <w:t>”和“</w:t>
            </w:r>
            <w:r>
              <w:rPr>
                <w:rFonts w:hint="eastAsia" w:ascii="Times New Roman" w:hAnsi="Times New Roman" w:eastAsia="仿宋" w:cs="Times New Roman"/>
                <w:color w:val="auto"/>
                <w:sz w:val="24"/>
                <w:szCs w:val="24"/>
                <w:highlight w:val="none"/>
                <w:lang w:val="en-US" w:eastAsia="zh-CN"/>
              </w:rPr>
              <w:t>乙方</w:t>
            </w:r>
            <w:r>
              <w:rPr>
                <w:rFonts w:hint="eastAsia" w:ascii="Times New Roman" w:hAnsi="Times New Roman" w:eastAsia="仿宋" w:cs="Times New Roman"/>
                <w:color w:val="auto"/>
                <w:sz w:val="24"/>
                <w:szCs w:val="24"/>
                <w:highlight w:val="none"/>
              </w:rPr>
              <w:t>”，</w:t>
            </w:r>
            <w:r>
              <w:rPr>
                <w:rFonts w:hint="eastAsia" w:ascii="仿宋" w:hAnsi="仿宋" w:eastAsia="仿宋" w:cs="仿宋"/>
                <w:color w:val="auto"/>
                <w:sz w:val="24"/>
                <w:szCs w:val="24"/>
                <w:highlight w:val="none"/>
              </w:rPr>
              <w:t>等同于</w:t>
            </w:r>
            <w:r>
              <w:rPr>
                <w:rFonts w:hint="eastAsia" w:ascii="仿宋" w:hAnsi="仿宋" w:eastAsia="仿宋" w:cs="仿宋"/>
                <w:color w:val="auto"/>
                <w:sz w:val="24"/>
                <w:szCs w:val="24"/>
                <w:highlight w:val="none"/>
                <w:lang w:val="en-US" w:eastAsia="zh-CN"/>
              </w:rPr>
              <w:t>询比采购</w:t>
            </w:r>
            <w:r>
              <w:rPr>
                <w:rFonts w:hint="eastAsia" w:ascii="仿宋" w:hAnsi="仿宋" w:eastAsia="仿宋" w:cs="仿宋"/>
                <w:color w:val="auto"/>
                <w:sz w:val="24"/>
                <w:szCs w:val="24"/>
                <w:highlight w:val="none"/>
              </w:rPr>
              <w:t>阶段的“</w:t>
            </w:r>
            <w:r>
              <w:rPr>
                <w:rFonts w:hint="eastAsia" w:ascii="仿宋" w:hAnsi="仿宋" w:eastAsia="仿宋" w:cs="仿宋"/>
                <w:color w:val="auto"/>
                <w:sz w:val="24"/>
                <w:szCs w:val="24"/>
                <w:highlight w:val="none"/>
                <w:lang w:val="en-US" w:eastAsia="zh-CN"/>
              </w:rPr>
              <w:t>采购人</w:t>
            </w:r>
            <w:r>
              <w:rPr>
                <w:rFonts w:hint="eastAsia" w:ascii="仿宋" w:hAnsi="仿宋" w:eastAsia="仿宋" w:cs="仿宋"/>
                <w:color w:val="auto"/>
                <w:sz w:val="24"/>
                <w:szCs w:val="24"/>
                <w:highlight w:val="none"/>
              </w:rPr>
              <w:t>”和“</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成交供应商</w:t>
            </w:r>
            <w:r>
              <w:rPr>
                <w:rFonts w:hint="eastAsia" w:ascii="仿宋" w:hAnsi="仿宋" w:eastAsia="仿宋" w:cs="仿宋"/>
                <w:color w:val="auto"/>
                <w:sz w:val="24"/>
                <w:szCs w:val="24"/>
                <w:highlight w:val="none"/>
              </w:rPr>
              <w:t>”。</w:t>
            </w:r>
          </w:p>
        </w:tc>
      </w:tr>
      <w:tr w14:paraId="3B8058FC">
        <w:tblPrEx>
          <w:tblCellMar>
            <w:top w:w="0" w:type="dxa"/>
            <w:left w:w="108" w:type="dxa"/>
            <w:bottom w:w="0" w:type="dxa"/>
            <w:right w:w="108" w:type="dxa"/>
          </w:tblCellMar>
        </w:tblPrEx>
        <w:trPr>
          <w:trHeight w:val="567" w:hRule="atLeast"/>
        </w:trPr>
        <w:tc>
          <w:tcPr>
            <w:tcW w:w="1008" w:type="dxa"/>
            <w:tcBorders>
              <w:top w:val="single" w:color="auto" w:sz="4" w:space="0"/>
              <w:left w:val="single" w:color="auto" w:sz="4" w:space="0"/>
              <w:bottom w:val="single" w:color="auto" w:sz="4" w:space="0"/>
              <w:right w:val="single" w:color="auto" w:sz="4" w:space="0"/>
            </w:tcBorders>
            <w:vAlign w:val="center"/>
          </w:tcPr>
          <w:p w14:paraId="56EB76C0">
            <w:pPr>
              <w:spacing w:line="440" w:lineRule="exact"/>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8.3</w:t>
            </w:r>
          </w:p>
        </w:tc>
        <w:tc>
          <w:tcPr>
            <w:tcW w:w="3211" w:type="dxa"/>
            <w:tcBorders>
              <w:top w:val="single" w:color="auto" w:sz="4" w:space="0"/>
              <w:left w:val="single" w:color="auto" w:sz="4" w:space="0"/>
              <w:bottom w:val="single" w:color="auto" w:sz="4" w:space="0"/>
              <w:right w:val="single" w:color="auto" w:sz="4" w:space="0"/>
            </w:tcBorders>
            <w:vAlign w:val="center"/>
          </w:tcPr>
          <w:p w14:paraId="6BDAE97A">
            <w:pPr>
              <w:spacing w:line="44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解释权</w:t>
            </w:r>
          </w:p>
        </w:tc>
        <w:tc>
          <w:tcPr>
            <w:tcW w:w="4536" w:type="dxa"/>
            <w:tcBorders>
              <w:top w:val="single" w:color="auto" w:sz="4" w:space="0"/>
              <w:left w:val="single" w:color="auto" w:sz="4" w:space="0"/>
              <w:bottom w:val="single" w:color="auto" w:sz="4" w:space="0"/>
              <w:right w:val="single" w:color="auto" w:sz="4" w:space="0"/>
            </w:tcBorders>
            <w:vAlign w:val="center"/>
          </w:tcPr>
          <w:p w14:paraId="7750F5FB">
            <w:pPr>
              <w:widowControl/>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（1）构成本</w:t>
            </w:r>
            <w:r>
              <w:rPr>
                <w:rFonts w:hint="eastAsia" w:ascii="仿宋" w:hAnsi="仿宋" w:eastAsia="仿宋" w:cs="仿宋"/>
                <w:color w:val="auto"/>
                <w:sz w:val="24"/>
                <w:szCs w:val="24"/>
                <w:highlight w:val="none"/>
                <w:lang w:eastAsia="zh-CN"/>
              </w:rPr>
              <w:t>询比</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文件的各个组成文件应互为解释，互为说明；</w:t>
            </w:r>
          </w:p>
          <w:p w14:paraId="32E609C0">
            <w:pPr>
              <w:widowControl/>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（2）同一组成文件中就同一事项的规定或约定不一致的，以编排顺序在后者为准；</w:t>
            </w:r>
          </w:p>
          <w:p w14:paraId="4194BD54">
            <w:pPr>
              <w:widowControl/>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（3）如有不明确或不一致，构成合同文件组成内容的，以合同文件约定内容为准，且以专用合同条款约定的合同文件优先顺序解释；</w:t>
            </w:r>
          </w:p>
          <w:p w14:paraId="22E9A92E">
            <w:pPr>
              <w:widowControl/>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（4）除</w:t>
            </w:r>
            <w:r>
              <w:rPr>
                <w:rFonts w:hint="eastAsia" w:ascii="仿宋" w:hAnsi="仿宋" w:eastAsia="仿宋" w:cs="仿宋"/>
                <w:color w:val="auto"/>
                <w:sz w:val="24"/>
                <w:szCs w:val="24"/>
                <w:highlight w:val="none"/>
                <w:lang w:eastAsia="zh-CN"/>
              </w:rPr>
              <w:t>询比</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文件中有特别规定外，仅适用于</w:t>
            </w:r>
            <w:r>
              <w:rPr>
                <w:rFonts w:hint="eastAsia" w:ascii="仿宋" w:hAnsi="仿宋" w:eastAsia="仿宋" w:cs="仿宋"/>
                <w:color w:val="auto"/>
                <w:sz w:val="24"/>
                <w:szCs w:val="24"/>
                <w:highlight w:val="none"/>
                <w:lang w:eastAsia="zh-CN"/>
              </w:rPr>
              <w:t>询比</w:t>
            </w:r>
            <w:r>
              <w:rPr>
                <w:rFonts w:hint="eastAsia" w:ascii="仿宋" w:hAnsi="仿宋" w:eastAsia="仿宋" w:cs="仿宋"/>
                <w:color w:val="auto"/>
                <w:sz w:val="24"/>
                <w:szCs w:val="24"/>
                <w:highlight w:val="none"/>
              </w:rPr>
              <w:t>阶段的规定，按照</w:t>
            </w:r>
            <w:r>
              <w:rPr>
                <w:rFonts w:hint="eastAsia" w:ascii="仿宋" w:hAnsi="仿宋" w:eastAsia="仿宋" w:cs="仿宋"/>
                <w:color w:val="auto"/>
                <w:sz w:val="24"/>
                <w:szCs w:val="24"/>
                <w:highlight w:val="none"/>
                <w:lang w:eastAsia="zh-CN"/>
              </w:rPr>
              <w:t>询比</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公告、</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须知、评</w:t>
            </w:r>
            <w:r>
              <w:rPr>
                <w:rFonts w:hint="eastAsia" w:ascii="仿宋" w:hAnsi="仿宋" w:eastAsia="仿宋" w:cs="仿宋"/>
                <w:color w:val="auto"/>
                <w:sz w:val="24"/>
                <w:szCs w:val="24"/>
                <w:highlight w:val="none"/>
                <w:lang w:val="en-US" w:eastAsia="zh-CN"/>
              </w:rPr>
              <w:t>审</w:t>
            </w:r>
            <w:r>
              <w:rPr>
                <w:rFonts w:hint="eastAsia" w:ascii="仿宋" w:hAnsi="仿宋" w:eastAsia="仿宋" w:cs="仿宋"/>
                <w:color w:val="auto"/>
                <w:sz w:val="24"/>
                <w:szCs w:val="24"/>
                <w:highlight w:val="none"/>
              </w:rPr>
              <w:t>办法、</w:t>
            </w:r>
            <w:r>
              <w:rPr>
                <w:rFonts w:hint="eastAsia" w:ascii="仿宋" w:hAnsi="仿宋" w:eastAsia="仿宋" w:cs="仿宋"/>
                <w:color w:val="auto"/>
                <w:sz w:val="24"/>
                <w:szCs w:val="24"/>
                <w:highlight w:val="none"/>
                <w:lang w:val="en-US" w:eastAsia="zh-CN"/>
              </w:rPr>
              <w:t>相应</w:t>
            </w:r>
            <w:r>
              <w:rPr>
                <w:rFonts w:hint="eastAsia" w:ascii="仿宋" w:hAnsi="仿宋" w:eastAsia="仿宋" w:cs="仿宋"/>
                <w:color w:val="auto"/>
                <w:sz w:val="24"/>
                <w:szCs w:val="24"/>
                <w:highlight w:val="none"/>
              </w:rPr>
              <w:t>文件格式的先后顺序解释；</w:t>
            </w:r>
          </w:p>
          <w:p w14:paraId="682F115F">
            <w:pPr>
              <w:tabs>
                <w:tab w:val="left" w:pos="6255"/>
              </w:tabs>
              <w:spacing w:line="480" w:lineRule="exact"/>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（5）按照本款前述规定仍不能形成结论的，由</w:t>
            </w:r>
            <w:r>
              <w:rPr>
                <w:rFonts w:hint="eastAsia" w:ascii="仿宋" w:hAnsi="仿宋" w:eastAsia="仿宋" w:cs="仿宋"/>
                <w:color w:val="auto"/>
                <w:sz w:val="24"/>
                <w:szCs w:val="24"/>
                <w:highlight w:val="none"/>
                <w:lang w:val="en-US" w:eastAsia="zh-CN"/>
              </w:rPr>
              <w:t>采购人</w:t>
            </w:r>
            <w:r>
              <w:rPr>
                <w:rFonts w:hint="eastAsia" w:ascii="仿宋" w:hAnsi="仿宋" w:eastAsia="仿宋" w:cs="仿宋"/>
                <w:color w:val="auto"/>
                <w:sz w:val="24"/>
                <w:szCs w:val="24"/>
                <w:highlight w:val="none"/>
              </w:rPr>
              <w:t>负责解释。</w:t>
            </w:r>
          </w:p>
        </w:tc>
      </w:tr>
    </w:tbl>
    <w:p w14:paraId="08E8A95B">
      <w:pPr>
        <w:spacing w:line="400" w:lineRule="exact"/>
        <w:rPr>
          <w:rFonts w:hint="eastAsia" w:ascii="仿宋" w:hAnsi="仿宋" w:eastAsia="仿宋" w:cs="仿宋"/>
          <w:color w:val="auto"/>
          <w:highlight w:val="none"/>
        </w:rPr>
      </w:pPr>
    </w:p>
    <w:p w14:paraId="216A60B2">
      <w:pPr>
        <w:spacing w:line="400" w:lineRule="exact"/>
        <w:rPr>
          <w:rFonts w:ascii="Times New Roman" w:hAnsi="Times New Roman"/>
          <w:color w:val="auto"/>
          <w:highlight w:val="none"/>
        </w:rPr>
      </w:pPr>
      <w:r>
        <w:rPr>
          <w:rFonts w:ascii="Times New Roman" w:hAnsi="Times New Roman"/>
          <w:color w:val="auto"/>
          <w:highlight w:val="none"/>
        </w:rPr>
        <w:br w:type="page"/>
      </w:r>
    </w:p>
    <w:p w14:paraId="25628B1C">
      <w:pPr>
        <w:pStyle w:val="5"/>
        <w:rPr>
          <w:rFonts w:hint="eastAsia" w:ascii="仿宋" w:hAnsi="仿宋" w:eastAsia="仿宋" w:cs="仿宋"/>
          <w:color w:val="auto"/>
          <w:highlight w:val="none"/>
        </w:rPr>
      </w:pPr>
      <w:bookmarkStart w:id="81" w:name="_Toc32657"/>
      <w:bookmarkStart w:id="82" w:name="_Toc501460650"/>
      <w:r>
        <w:rPr>
          <w:rFonts w:hint="eastAsia" w:ascii="仿宋" w:hAnsi="仿宋" w:eastAsia="仿宋" w:cs="仿宋"/>
          <w:color w:val="auto"/>
          <w:highlight w:val="none"/>
        </w:rPr>
        <w:t>1. 总则</w:t>
      </w:r>
      <w:bookmarkEnd w:id="81"/>
      <w:bookmarkEnd w:id="82"/>
    </w:p>
    <w:p w14:paraId="36FC6C58">
      <w:pPr>
        <w:pStyle w:val="6"/>
        <w:spacing w:line="240" w:lineRule="auto"/>
        <w:ind w:firstLine="137"/>
        <w:rPr>
          <w:rFonts w:hint="eastAsia" w:ascii="仿宋" w:hAnsi="仿宋" w:eastAsia="仿宋" w:cs="仿宋"/>
          <w:color w:val="auto"/>
          <w:highlight w:val="none"/>
        </w:rPr>
      </w:pPr>
      <w:bookmarkStart w:id="83" w:name="_Toc14826"/>
      <w:bookmarkStart w:id="84" w:name="_Toc501460651"/>
      <w:r>
        <w:rPr>
          <w:rFonts w:hint="eastAsia" w:ascii="仿宋" w:hAnsi="仿宋" w:eastAsia="仿宋" w:cs="仿宋"/>
          <w:color w:val="auto"/>
          <w:highlight w:val="none"/>
        </w:rPr>
        <w:t>1.1 采购方式</w:t>
      </w:r>
      <w:bookmarkEnd w:id="83"/>
    </w:p>
    <w:p w14:paraId="34889980">
      <w:pPr>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询比采购是指采购人组建评审小组与响应采购的供应商按照采购文件规定的规则和时间一次递交的响应文件进行评审，采购人根据评审小组的评审结果，选择确定成交供应商的采购方式。</w:t>
      </w:r>
    </w:p>
    <w:p w14:paraId="46E28B52">
      <w:pPr>
        <w:pStyle w:val="6"/>
        <w:spacing w:line="240" w:lineRule="auto"/>
        <w:ind w:firstLine="137"/>
        <w:rPr>
          <w:rFonts w:hint="eastAsia" w:ascii="仿宋" w:hAnsi="仿宋" w:eastAsia="仿宋" w:cs="仿宋"/>
          <w:color w:val="auto"/>
          <w:highlight w:val="none"/>
        </w:rPr>
      </w:pPr>
      <w:bookmarkStart w:id="85" w:name="_Toc12785"/>
      <w:r>
        <w:rPr>
          <w:rFonts w:hint="eastAsia" w:ascii="仿宋" w:hAnsi="仿宋" w:eastAsia="仿宋" w:cs="仿宋"/>
          <w:color w:val="auto"/>
          <w:highlight w:val="none"/>
        </w:rPr>
        <w:t>1.2 采购项目概况</w:t>
      </w:r>
      <w:bookmarkEnd w:id="84"/>
      <w:r>
        <w:rPr>
          <w:rFonts w:hint="eastAsia" w:ascii="仿宋" w:hAnsi="仿宋" w:eastAsia="仿宋" w:cs="仿宋"/>
          <w:color w:val="auto"/>
          <w:highlight w:val="none"/>
        </w:rPr>
        <w:t>和供应商资格要求</w:t>
      </w:r>
      <w:bookmarkEnd w:id="85"/>
    </w:p>
    <w:p w14:paraId="51F78AEA">
      <w:pPr>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1.2.1 供应商</w:t>
      </w:r>
      <w:r>
        <w:rPr>
          <w:rFonts w:hint="eastAsia" w:ascii="仿宋" w:hAnsi="仿宋" w:eastAsia="仿宋" w:cs="仿宋"/>
          <w:color w:val="auto"/>
          <w:sz w:val="24"/>
          <w:szCs w:val="24"/>
          <w:highlight w:val="none"/>
        </w:rPr>
        <w:t>应具备承担本</w:t>
      </w:r>
      <w:r>
        <w:rPr>
          <w:rFonts w:hint="eastAsia" w:ascii="仿宋" w:hAnsi="仿宋" w:eastAsia="仿宋" w:cs="仿宋"/>
          <w:color w:val="auto"/>
          <w:sz w:val="24"/>
          <w:szCs w:val="24"/>
          <w:highlight w:val="none"/>
          <w:lang w:val="en-US" w:eastAsia="zh-CN"/>
        </w:rPr>
        <w:t>采购包</w:t>
      </w:r>
      <w:r>
        <w:rPr>
          <w:rFonts w:hint="eastAsia" w:ascii="仿宋" w:hAnsi="仿宋" w:eastAsia="仿宋" w:cs="仿宋"/>
          <w:color w:val="auto"/>
          <w:sz w:val="24"/>
          <w:szCs w:val="24"/>
          <w:highlight w:val="none"/>
        </w:rPr>
        <w:t>的资质条件、能力和信誉：</w:t>
      </w:r>
    </w:p>
    <w:p w14:paraId="21FC9F4B">
      <w:pPr>
        <w:snapToGrid w:val="0"/>
        <w:spacing w:line="360" w:lineRule="auto"/>
        <w:ind w:firstLine="480" w:firstLineChars="20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资质要求：</w:t>
      </w:r>
      <w:r>
        <w:rPr>
          <w:rFonts w:hint="eastAsia" w:ascii="仿宋" w:hAnsi="仿宋" w:eastAsia="仿宋" w:cs="仿宋"/>
          <w:color w:val="auto"/>
          <w:sz w:val="24"/>
          <w:szCs w:val="24"/>
          <w:highlight w:val="none"/>
          <w:lang w:val="en-US" w:eastAsia="zh-CN"/>
        </w:rPr>
        <w:t>见询比采购公告</w:t>
      </w:r>
      <w:r>
        <w:rPr>
          <w:rFonts w:hint="eastAsia" w:ascii="Times New Roman" w:hAnsi="Times New Roman" w:eastAsia="仿宋" w:cs="宋体"/>
          <w:color w:val="auto"/>
          <w:sz w:val="24"/>
          <w:szCs w:val="24"/>
          <w:highlight w:val="none"/>
          <w:lang w:val="en-US" w:eastAsia="zh-CN"/>
        </w:rPr>
        <w:t>；</w:t>
      </w:r>
    </w:p>
    <w:p w14:paraId="13114C44">
      <w:pPr>
        <w:snapToGrid w:val="0"/>
        <w:spacing w:line="360" w:lineRule="auto"/>
        <w:ind w:firstLine="480" w:firstLineChars="20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）其他要求：</w:t>
      </w:r>
      <w:r>
        <w:rPr>
          <w:rFonts w:hint="eastAsia" w:ascii="仿宋" w:hAnsi="仿宋" w:eastAsia="仿宋" w:cs="仿宋"/>
          <w:color w:val="auto"/>
          <w:sz w:val="24"/>
          <w:szCs w:val="24"/>
          <w:highlight w:val="none"/>
          <w:lang w:val="en-US" w:eastAsia="zh-CN"/>
        </w:rPr>
        <w:t>见询比采购公告</w:t>
      </w:r>
      <w:r>
        <w:rPr>
          <w:rFonts w:hint="eastAsia" w:ascii="Times New Roman" w:hAnsi="Times New Roman" w:cs="宋体"/>
          <w:color w:val="auto"/>
          <w:sz w:val="24"/>
          <w:szCs w:val="24"/>
          <w:highlight w:val="none"/>
        </w:rPr>
        <w:t>。</w:t>
      </w:r>
    </w:p>
    <w:p w14:paraId="2C738D56">
      <w:pPr>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需要提交的相关证明材料见本章第3.5款的规定。</w:t>
      </w:r>
    </w:p>
    <w:p w14:paraId="0161FAC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1.2.2 供应商</w:t>
      </w:r>
      <w:r>
        <w:rPr>
          <w:rFonts w:hint="eastAsia" w:ascii="仿宋" w:hAnsi="仿宋" w:eastAsia="仿宋" w:cs="仿宋"/>
          <w:color w:val="auto"/>
          <w:sz w:val="24"/>
          <w:szCs w:val="24"/>
          <w:highlight w:val="none"/>
        </w:rPr>
        <w:t>（包括联合体各成员）不得存在下列情形：</w:t>
      </w:r>
    </w:p>
    <w:p w14:paraId="0CC0B91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（1）为</w:t>
      </w:r>
      <w:r>
        <w:rPr>
          <w:rFonts w:hint="eastAsia" w:ascii="仿宋" w:hAnsi="仿宋" w:eastAsia="仿宋" w:cs="仿宋"/>
          <w:color w:val="auto"/>
          <w:sz w:val="24"/>
          <w:szCs w:val="24"/>
          <w:highlight w:val="none"/>
          <w:lang w:val="en-US" w:eastAsia="zh-CN"/>
        </w:rPr>
        <w:t>采购人</w:t>
      </w:r>
      <w:r>
        <w:rPr>
          <w:rFonts w:hint="eastAsia" w:ascii="仿宋" w:hAnsi="仿宋" w:eastAsia="仿宋" w:cs="仿宋"/>
          <w:color w:val="auto"/>
          <w:sz w:val="24"/>
          <w:szCs w:val="24"/>
          <w:highlight w:val="none"/>
          <w:lang w:val="zh-CN"/>
        </w:rPr>
        <w:t>不具有独立法人资格的附属机构（单位</w:t>
      </w:r>
      <w:r>
        <w:rPr>
          <w:rFonts w:hint="eastAsia" w:ascii="仿宋" w:hAnsi="仿宋" w:eastAsia="仿宋" w:cs="仿宋"/>
          <w:color w:val="auto"/>
          <w:sz w:val="24"/>
          <w:szCs w:val="24"/>
          <w:highlight w:val="none"/>
        </w:rPr>
        <w:t xml:space="preserve">）； </w:t>
      </w:r>
    </w:p>
    <w:p w14:paraId="14619DE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（2）与</w:t>
      </w:r>
      <w:r>
        <w:rPr>
          <w:rFonts w:hint="eastAsia" w:ascii="仿宋" w:hAnsi="仿宋" w:eastAsia="仿宋" w:cs="仿宋"/>
          <w:color w:val="auto"/>
          <w:sz w:val="24"/>
          <w:szCs w:val="24"/>
          <w:highlight w:val="none"/>
          <w:lang w:val="en-US" w:eastAsia="zh-CN"/>
        </w:rPr>
        <w:t>采购人</w:t>
      </w:r>
      <w:r>
        <w:rPr>
          <w:rFonts w:hint="eastAsia" w:ascii="仿宋" w:hAnsi="仿宋" w:eastAsia="仿宋" w:cs="仿宋"/>
          <w:color w:val="auto"/>
          <w:sz w:val="24"/>
          <w:szCs w:val="24"/>
          <w:highlight w:val="none"/>
          <w:lang w:val="zh-CN"/>
        </w:rPr>
        <w:t>存在利害关系且可能影响</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lang w:val="zh-CN"/>
        </w:rPr>
        <w:t>公正性；</w:t>
      </w:r>
    </w:p>
    <w:p w14:paraId="1ABED98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rPr>
        <w:t>与本</w:t>
      </w:r>
      <w:r>
        <w:rPr>
          <w:rFonts w:hint="eastAsia" w:ascii="仿宋" w:hAnsi="仿宋" w:eastAsia="仿宋" w:cs="仿宋"/>
          <w:color w:val="auto"/>
          <w:sz w:val="24"/>
          <w:szCs w:val="24"/>
          <w:highlight w:val="none"/>
          <w:lang w:val="en-US" w:eastAsia="zh-CN"/>
        </w:rPr>
        <w:t>采购包</w:t>
      </w:r>
      <w:r>
        <w:rPr>
          <w:rFonts w:hint="eastAsia" w:ascii="仿宋" w:hAnsi="仿宋" w:eastAsia="仿宋" w:cs="仿宋"/>
          <w:color w:val="auto"/>
          <w:sz w:val="24"/>
          <w:szCs w:val="24"/>
          <w:highlight w:val="none"/>
        </w:rPr>
        <w:t>其他</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的单位负责人为同一人</w:t>
      </w:r>
      <w:r>
        <w:rPr>
          <w:rFonts w:hint="eastAsia" w:ascii="仿宋" w:hAnsi="仿宋" w:eastAsia="仿宋" w:cs="仿宋"/>
          <w:color w:val="auto"/>
          <w:sz w:val="24"/>
          <w:szCs w:val="24"/>
          <w:highlight w:val="none"/>
          <w:lang w:val="zh-CN"/>
        </w:rPr>
        <w:t>；</w:t>
      </w:r>
    </w:p>
    <w:p w14:paraId="135E3FDB">
      <w:pPr>
        <w:spacing w:line="360" w:lineRule="auto"/>
        <w:ind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（4）与</w:t>
      </w:r>
      <w:r>
        <w:rPr>
          <w:rFonts w:hint="eastAsia" w:ascii="仿宋" w:hAnsi="仿宋" w:eastAsia="仿宋" w:cs="仿宋"/>
          <w:color w:val="auto"/>
          <w:sz w:val="24"/>
          <w:szCs w:val="24"/>
          <w:highlight w:val="none"/>
        </w:rPr>
        <w:t>本</w:t>
      </w:r>
      <w:r>
        <w:rPr>
          <w:rFonts w:hint="eastAsia" w:ascii="仿宋" w:hAnsi="仿宋" w:eastAsia="仿宋" w:cs="仿宋"/>
          <w:color w:val="auto"/>
          <w:sz w:val="24"/>
          <w:szCs w:val="24"/>
          <w:highlight w:val="none"/>
          <w:lang w:val="en-US" w:eastAsia="zh-CN"/>
        </w:rPr>
        <w:t>采购包</w:t>
      </w:r>
      <w:r>
        <w:rPr>
          <w:rFonts w:hint="eastAsia" w:ascii="仿宋" w:hAnsi="仿宋" w:eastAsia="仿宋" w:cs="仿宋"/>
          <w:color w:val="auto"/>
          <w:sz w:val="24"/>
          <w:szCs w:val="24"/>
          <w:highlight w:val="none"/>
        </w:rPr>
        <w:t>其他</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lang w:val="zh-CN"/>
        </w:rPr>
        <w:t>存在控股、管理关系；</w:t>
      </w:r>
    </w:p>
    <w:p w14:paraId="311BC0F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zh-CN"/>
        </w:rPr>
        <w:t>为本</w:t>
      </w:r>
      <w:r>
        <w:rPr>
          <w:rFonts w:hint="eastAsia" w:ascii="仿宋" w:hAnsi="仿宋" w:eastAsia="仿宋" w:cs="仿宋"/>
          <w:color w:val="auto"/>
          <w:sz w:val="24"/>
          <w:szCs w:val="24"/>
          <w:highlight w:val="none"/>
          <w:lang w:val="en-US" w:eastAsia="zh-CN"/>
        </w:rPr>
        <w:t>采购包</w:t>
      </w:r>
      <w:r>
        <w:rPr>
          <w:rFonts w:hint="eastAsia" w:ascii="仿宋" w:hAnsi="仿宋" w:eastAsia="仿宋" w:cs="仿宋"/>
          <w:color w:val="auto"/>
          <w:sz w:val="24"/>
          <w:szCs w:val="24"/>
          <w:highlight w:val="none"/>
          <w:lang w:val="zh-CN"/>
        </w:rPr>
        <w:t>的</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lang w:val="zh-CN"/>
        </w:rPr>
        <w:t>代理机构；</w:t>
      </w:r>
    </w:p>
    <w:p w14:paraId="1317053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（6）在最近三年内（自</w:t>
      </w:r>
      <w:r>
        <w:rPr>
          <w:rFonts w:hint="eastAsia" w:ascii="仿宋" w:hAnsi="仿宋" w:eastAsia="仿宋" w:cs="仿宋"/>
          <w:color w:val="auto"/>
          <w:sz w:val="24"/>
          <w:szCs w:val="24"/>
          <w:highlight w:val="none"/>
          <w:lang w:eastAsia="zh-CN"/>
        </w:rPr>
        <w:t>响应</w:t>
      </w:r>
      <w:r>
        <w:rPr>
          <w:rFonts w:hint="eastAsia" w:ascii="仿宋" w:hAnsi="仿宋" w:eastAsia="仿宋" w:cs="仿宋"/>
          <w:color w:val="auto"/>
          <w:sz w:val="24"/>
          <w:szCs w:val="24"/>
          <w:highlight w:val="none"/>
        </w:rPr>
        <w:t>截止之日向前追溯3年）有严重违约或发生重大</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质量问题</w:t>
      </w:r>
      <w:r>
        <w:rPr>
          <w:rFonts w:hint="eastAsia" w:ascii="仿宋" w:hAnsi="仿宋" w:eastAsia="仿宋" w:cs="仿宋"/>
          <w:color w:val="auto"/>
          <w:sz w:val="24"/>
          <w:szCs w:val="24"/>
          <w:highlight w:val="none"/>
          <w:lang w:eastAsia="zh-CN"/>
        </w:rPr>
        <w:t>的</w:t>
      </w:r>
      <w:r>
        <w:rPr>
          <w:rFonts w:hint="eastAsia" w:ascii="仿宋" w:hAnsi="仿宋" w:eastAsia="仿宋" w:cs="仿宋"/>
          <w:color w:val="auto"/>
          <w:sz w:val="24"/>
          <w:szCs w:val="24"/>
          <w:highlight w:val="none"/>
        </w:rPr>
        <w:t>（以相关行业主管部门的行政处罚决定或司法机关出具的有关法律文书为准），前述行政处罚已完成信用修复的，但自行政处罚作出机关或信用修复主管部门同意修复之日起满一年的，不受三年期限限制；</w:t>
      </w:r>
    </w:p>
    <w:p w14:paraId="0C1CCD7D">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（7）</w:t>
      </w:r>
      <w:r>
        <w:rPr>
          <w:rFonts w:hint="eastAsia" w:ascii="仿宋" w:hAnsi="仿宋" w:eastAsia="仿宋" w:cs="仿宋"/>
          <w:color w:val="auto"/>
          <w:sz w:val="24"/>
          <w:szCs w:val="24"/>
          <w:highlight w:val="none"/>
        </w:rPr>
        <w:t>被责令停产停业，暂扣或吊销执照，或吊销资质证书；</w:t>
      </w:r>
    </w:p>
    <w:p w14:paraId="17FDF2D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（8）</w:t>
      </w:r>
      <w:r>
        <w:rPr>
          <w:rFonts w:hint="eastAsia" w:ascii="仿宋" w:hAnsi="仿宋" w:eastAsia="仿宋" w:cs="仿宋"/>
          <w:color w:val="auto"/>
          <w:sz w:val="24"/>
          <w:szCs w:val="24"/>
          <w:highlight w:val="none"/>
        </w:rPr>
        <w:t>进入清算程序，或被宣告破产，或其他丧失履约能力的情形；</w:t>
      </w:r>
    </w:p>
    <w:p w14:paraId="031618B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（9）</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或其法定代表人、</w:t>
      </w:r>
      <w:r>
        <w:rPr>
          <w:rFonts w:hint="eastAsia" w:ascii="仿宋" w:hAnsi="仿宋" w:eastAsia="仿宋" w:cs="仿宋"/>
          <w:color w:val="auto"/>
          <w:sz w:val="24"/>
          <w:szCs w:val="24"/>
          <w:highlight w:val="none"/>
          <w:lang w:eastAsia="zh-CN"/>
        </w:rPr>
        <w:t>项目负责人</w:t>
      </w:r>
      <w:r>
        <w:rPr>
          <w:rFonts w:hint="eastAsia" w:ascii="仿宋" w:hAnsi="仿宋" w:eastAsia="仿宋" w:cs="仿宋"/>
          <w:color w:val="auto"/>
          <w:sz w:val="24"/>
          <w:szCs w:val="24"/>
          <w:highlight w:val="none"/>
        </w:rPr>
        <w:t>在近三年内（自</w:t>
      </w:r>
      <w:r>
        <w:rPr>
          <w:rFonts w:hint="eastAsia" w:ascii="仿宋" w:hAnsi="仿宋" w:eastAsia="仿宋" w:cs="仿宋"/>
          <w:color w:val="auto"/>
          <w:sz w:val="24"/>
          <w:szCs w:val="24"/>
          <w:highlight w:val="none"/>
          <w:lang w:val="en-US" w:eastAsia="zh-CN"/>
        </w:rPr>
        <w:t>询比开始</w:t>
      </w:r>
      <w:r>
        <w:rPr>
          <w:rFonts w:hint="eastAsia" w:ascii="仿宋" w:hAnsi="仿宋" w:eastAsia="仿宋" w:cs="仿宋"/>
          <w:color w:val="auto"/>
          <w:sz w:val="24"/>
          <w:szCs w:val="24"/>
          <w:highlight w:val="none"/>
        </w:rPr>
        <w:t>之日向前追溯3年）有行贿犯罪行为；</w:t>
      </w:r>
    </w:p>
    <w:p w14:paraId="27257BE4">
      <w:pPr>
        <w:spacing w:line="360" w:lineRule="auto"/>
        <w:ind w:firstLine="480" w:firstLineChars="200"/>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rPr>
        <w:t>（10）</w:t>
      </w:r>
      <w:r>
        <w:rPr>
          <w:rFonts w:hint="eastAsia" w:ascii="仿宋" w:hAnsi="仿宋" w:eastAsia="仿宋" w:cs="仿宋"/>
          <w:color w:val="auto"/>
          <w:sz w:val="24"/>
          <w:szCs w:val="24"/>
          <w:highlight w:val="none"/>
        </w:rPr>
        <w:t>法律法规规定的其他禁止情形</w:t>
      </w:r>
      <w:r>
        <w:rPr>
          <w:rFonts w:hint="eastAsia" w:ascii="仿宋" w:hAnsi="仿宋" w:eastAsia="仿宋" w:cs="仿宋"/>
          <w:color w:val="auto"/>
          <w:sz w:val="24"/>
          <w:szCs w:val="24"/>
          <w:highlight w:val="none"/>
          <w:lang w:eastAsia="zh-CN"/>
        </w:rPr>
        <w:t>。</w:t>
      </w:r>
    </w:p>
    <w:p w14:paraId="7340E2F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1.2.3 供应商（包括联合体各成员）不得存在下列不良状况或不良信用记录： </w:t>
      </w:r>
      <w:r>
        <w:rPr>
          <w:rFonts w:hint="eastAsia" w:ascii="仿宋" w:hAnsi="仿宋" w:eastAsia="仿宋" w:cs="仿宋"/>
          <w:color w:val="auto"/>
          <w:sz w:val="24"/>
          <w:szCs w:val="24"/>
          <w:highlight w:val="none"/>
        </w:rPr>
        <w:t xml:space="preserve"> </w:t>
      </w:r>
    </w:p>
    <w:p w14:paraId="1ED6D56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（1）在国家企业信用信息公示系统（http://www.gsxt.gov.cn/）中被列入严重违法失信企业名单；</w:t>
      </w:r>
    </w:p>
    <w:p w14:paraId="06274EE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（2）在“信用中国”网站（http://www.creditchina.gov.cn/）中被列入失信被执行人名单；</w:t>
      </w:r>
    </w:p>
    <w:p w14:paraId="7669EA25">
      <w:pPr>
        <w:spacing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sz w:val="24"/>
          <w:szCs w:val="24"/>
          <w:highlight w:val="none"/>
        </w:rPr>
        <w:t>（3）在“信用中国”网站（http://www.creditchina.gov.cn/）中被列入重大税收违法失信主体名单</w:t>
      </w:r>
      <w:r>
        <w:rPr>
          <w:rFonts w:hint="eastAsia" w:ascii="仿宋" w:hAnsi="仿宋" w:eastAsia="仿宋" w:cs="仿宋"/>
          <w:color w:val="auto"/>
          <w:sz w:val="24"/>
          <w:szCs w:val="24"/>
          <w:highlight w:val="none"/>
          <w:lang w:eastAsia="zh-CN"/>
        </w:rPr>
        <w:t>。</w:t>
      </w:r>
    </w:p>
    <w:p w14:paraId="03F11AB9">
      <w:pPr>
        <w:pStyle w:val="6"/>
        <w:spacing w:line="240" w:lineRule="auto"/>
        <w:ind w:firstLine="137"/>
        <w:rPr>
          <w:rFonts w:hint="eastAsia" w:ascii="仿宋" w:hAnsi="仿宋" w:eastAsia="仿宋" w:cs="仿宋"/>
          <w:color w:val="auto"/>
          <w:highlight w:val="none"/>
        </w:rPr>
      </w:pPr>
      <w:bookmarkStart w:id="86" w:name="_Toc5334"/>
      <w:r>
        <w:rPr>
          <w:rFonts w:hint="eastAsia" w:ascii="仿宋" w:hAnsi="仿宋" w:eastAsia="仿宋" w:cs="仿宋"/>
          <w:color w:val="auto"/>
          <w:highlight w:val="none"/>
        </w:rPr>
        <w:t>1.3 费用承担</w:t>
      </w:r>
      <w:bookmarkEnd w:id="86"/>
    </w:p>
    <w:p w14:paraId="112A8AFE">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供应商准备和参加询比采购活动所发生的各种费用由供应商自行承担。</w:t>
      </w:r>
    </w:p>
    <w:p w14:paraId="688AE164">
      <w:pPr>
        <w:pStyle w:val="6"/>
        <w:spacing w:line="240" w:lineRule="auto"/>
        <w:ind w:firstLine="137"/>
        <w:rPr>
          <w:rFonts w:hint="eastAsia" w:ascii="仿宋" w:hAnsi="仿宋" w:eastAsia="仿宋" w:cs="仿宋"/>
          <w:color w:val="auto"/>
          <w:highlight w:val="none"/>
        </w:rPr>
      </w:pPr>
      <w:bookmarkStart w:id="87" w:name="_Toc501460656"/>
      <w:bookmarkStart w:id="88" w:name="_Toc2732"/>
      <w:r>
        <w:rPr>
          <w:rFonts w:hint="eastAsia" w:ascii="仿宋" w:hAnsi="仿宋" w:eastAsia="仿宋" w:cs="仿宋"/>
          <w:color w:val="auto"/>
          <w:highlight w:val="none"/>
        </w:rPr>
        <w:t>1.4 保密</w:t>
      </w:r>
      <w:bookmarkEnd w:id="87"/>
      <w:bookmarkEnd w:id="88"/>
    </w:p>
    <w:p w14:paraId="2955F925">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参与询比采购活动的各方应对采购文件和响应文件中的</w:t>
      </w:r>
      <w:bookmarkStart w:id="89" w:name="_Toc352691477"/>
      <w:bookmarkStart w:id="90" w:name="_Toc369531519"/>
      <w:bookmarkStart w:id="91" w:name="_Toc5326"/>
      <w:bookmarkStart w:id="92" w:name="_Toc361508589"/>
      <w:bookmarkStart w:id="93" w:name="_Toc384308214"/>
      <w:r>
        <w:rPr>
          <w:rFonts w:hint="eastAsia" w:ascii="仿宋" w:hAnsi="仿宋" w:eastAsia="仿宋" w:cs="仿宋"/>
          <w:color w:val="auto"/>
          <w:sz w:val="24"/>
          <w:szCs w:val="24"/>
          <w:highlight w:val="none"/>
        </w:rPr>
        <w:t>商业和技术等秘密保密</w:t>
      </w:r>
      <w:bookmarkEnd w:id="89"/>
      <w:bookmarkEnd w:id="90"/>
      <w:bookmarkEnd w:id="91"/>
      <w:bookmarkEnd w:id="92"/>
      <w:bookmarkEnd w:id="93"/>
      <w:r>
        <w:rPr>
          <w:rFonts w:hint="eastAsia" w:ascii="仿宋" w:hAnsi="仿宋" w:eastAsia="仿宋" w:cs="仿宋"/>
          <w:color w:val="auto"/>
          <w:sz w:val="24"/>
          <w:szCs w:val="24"/>
          <w:highlight w:val="none"/>
        </w:rPr>
        <w:t>，否则应承担相应的法律责任。</w:t>
      </w:r>
    </w:p>
    <w:p w14:paraId="04814C82">
      <w:pPr>
        <w:pStyle w:val="6"/>
        <w:spacing w:line="240" w:lineRule="auto"/>
        <w:ind w:firstLine="137"/>
        <w:rPr>
          <w:rFonts w:hint="eastAsia" w:ascii="仿宋" w:hAnsi="仿宋" w:eastAsia="仿宋" w:cs="仿宋"/>
          <w:color w:val="auto"/>
          <w:highlight w:val="none"/>
        </w:rPr>
      </w:pPr>
      <w:bookmarkStart w:id="94" w:name="_Toc501460657"/>
      <w:bookmarkStart w:id="95" w:name="_Toc3914"/>
      <w:r>
        <w:rPr>
          <w:rFonts w:hint="eastAsia" w:ascii="仿宋" w:hAnsi="仿宋" w:eastAsia="仿宋" w:cs="仿宋"/>
          <w:color w:val="auto"/>
          <w:highlight w:val="none"/>
        </w:rPr>
        <w:t>1.5 语言文字</w:t>
      </w:r>
      <w:bookmarkEnd w:id="94"/>
      <w:bookmarkEnd w:id="95"/>
    </w:p>
    <w:p w14:paraId="01E88EA3">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采购文件和响应文件使用的语言文字为中文。专用术语使用外文的，应附有中文注释。</w:t>
      </w:r>
    </w:p>
    <w:p w14:paraId="713A8071">
      <w:pPr>
        <w:pStyle w:val="6"/>
        <w:spacing w:line="240" w:lineRule="auto"/>
        <w:ind w:firstLine="137"/>
        <w:rPr>
          <w:rFonts w:hint="eastAsia" w:ascii="仿宋" w:hAnsi="仿宋" w:eastAsia="仿宋" w:cs="仿宋"/>
          <w:color w:val="auto"/>
          <w:highlight w:val="none"/>
        </w:rPr>
      </w:pPr>
      <w:bookmarkStart w:id="96" w:name="_Toc18939"/>
      <w:bookmarkStart w:id="97" w:name="_Toc501460658"/>
      <w:r>
        <w:rPr>
          <w:rFonts w:hint="eastAsia" w:ascii="仿宋" w:hAnsi="仿宋" w:eastAsia="仿宋" w:cs="仿宋"/>
          <w:color w:val="auto"/>
          <w:highlight w:val="none"/>
        </w:rPr>
        <w:t>1.6 计量单位</w:t>
      </w:r>
      <w:bookmarkEnd w:id="96"/>
      <w:bookmarkEnd w:id="97"/>
    </w:p>
    <w:p w14:paraId="76E5A25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所有计量均采用中华人民共和国法定计量单位。</w:t>
      </w:r>
    </w:p>
    <w:p w14:paraId="70AFE4E6">
      <w:pPr>
        <w:pStyle w:val="6"/>
        <w:spacing w:line="240" w:lineRule="auto"/>
        <w:ind w:firstLine="137"/>
        <w:rPr>
          <w:rFonts w:hint="eastAsia" w:ascii="仿宋" w:hAnsi="仿宋" w:eastAsia="仿宋" w:cs="仿宋"/>
          <w:color w:val="auto"/>
          <w:highlight w:val="none"/>
        </w:rPr>
      </w:pPr>
      <w:bookmarkStart w:id="98" w:name="_Toc384308219"/>
      <w:bookmarkStart w:id="99" w:name="_Toc144974507"/>
      <w:bookmarkStart w:id="100" w:name="_Toc247527563"/>
      <w:bookmarkStart w:id="101" w:name="_Toc482188480"/>
      <w:bookmarkStart w:id="102" w:name="_Toc152045539"/>
      <w:bookmarkStart w:id="103" w:name="_Toc3962"/>
      <w:bookmarkStart w:id="104" w:name="_Toc370676289"/>
      <w:bookmarkStart w:id="105" w:name="_Toc247513962"/>
      <w:bookmarkStart w:id="106" w:name="_Toc501460401"/>
      <w:bookmarkStart w:id="107" w:name="_Toc391393967"/>
      <w:bookmarkStart w:id="108" w:name="_Toc152042315"/>
      <w:bookmarkStart w:id="109" w:name="_Toc300834959"/>
      <w:bookmarkStart w:id="110" w:name="_Toc361508594"/>
      <w:bookmarkStart w:id="111" w:name="_Toc501460659"/>
      <w:bookmarkStart w:id="112" w:name="_Toc485303284"/>
      <w:r>
        <w:rPr>
          <w:rFonts w:hint="eastAsia" w:ascii="仿宋" w:hAnsi="仿宋" w:eastAsia="仿宋" w:cs="仿宋"/>
          <w:color w:val="auto"/>
          <w:highlight w:val="none"/>
        </w:rPr>
        <w:t>1.7 踏勘现场</w:t>
      </w:r>
      <w:bookmarkEnd w:id="98"/>
      <w:bookmarkEnd w:id="99"/>
      <w:bookmarkEnd w:id="100"/>
      <w:bookmarkEnd w:id="101"/>
      <w:bookmarkEnd w:id="102"/>
      <w:bookmarkEnd w:id="103"/>
      <w:bookmarkEnd w:id="104"/>
      <w:bookmarkEnd w:id="105"/>
      <w:bookmarkEnd w:id="106"/>
      <w:bookmarkEnd w:id="107"/>
      <w:bookmarkEnd w:id="108"/>
      <w:bookmarkEnd w:id="109"/>
      <w:bookmarkEnd w:id="110"/>
    </w:p>
    <w:p w14:paraId="1D5CA0DC">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1.7.1 供应商须知前附表规定组织踏勘现场的，采购人按供应商须知前附表规定的时间、地点组织供应商踏勘项目现场。部分供应商未按时参加踏勘现场的，不影响踏勘现场的正常进行。</w:t>
      </w:r>
    </w:p>
    <w:p w14:paraId="4AF1B65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1.7.2 供应商可自愿参加踏勘现场活动。除采购人的原因外，采购人对供应商参加踏勘现场中所发生的人员伤亡和财产损失不承担责任。</w:t>
      </w:r>
    </w:p>
    <w:p w14:paraId="2AD23089">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1.7.3 采购人在踏勘现场中介绍的工程场地和相关的周边环境情况，仅作为供应商编制响应文件的参考，采购人不对供应商据此作出的判断和决策负责。</w:t>
      </w:r>
    </w:p>
    <w:p w14:paraId="400C2895">
      <w:pPr>
        <w:pStyle w:val="6"/>
        <w:spacing w:line="240" w:lineRule="auto"/>
        <w:ind w:firstLine="137"/>
        <w:rPr>
          <w:rFonts w:hint="eastAsia" w:ascii="仿宋" w:hAnsi="仿宋" w:eastAsia="仿宋" w:cs="仿宋"/>
          <w:color w:val="auto"/>
          <w:highlight w:val="none"/>
        </w:rPr>
      </w:pPr>
      <w:bookmarkStart w:id="113" w:name="_Toc12473"/>
      <w:r>
        <w:rPr>
          <w:rFonts w:hint="eastAsia" w:ascii="仿宋" w:hAnsi="仿宋" w:eastAsia="仿宋" w:cs="仿宋"/>
          <w:color w:val="auto"/>
          <w:highlight w:val="none"/>
        </w:rPr>
        <w:t>1.8 询比采购预备会</w:t>
      </w:r>
      <w:bookmarkEnd w:id="111"/>
      <w:bookmarkEnd w:id="112"/>
      <w:bookmarkEnd w:id="113"/>
    </w:p>
    <w:p w14:paraId="3A1726F5">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供应商须知前附表规定召开询比采购预备会的，采购人按供应商须知前附表规定的时间和地点召开询比采购预备会。</w:t>
      </w:r>
    </w:p>
    <w:p w14:paraId="04561311">
      <w:pPr>
        <w:pStyle w:val="6"/>
        <w:spacing w:line="240" w:lineRule="auto"/>
        <w:ind w:firstLine="137"/>
        <w:rPr>
          <w:rFonts w:hint="eastAsia" w:ascii="仿宋" w:hAnsi="仿宋" w:eastAsia="仿宋" w:cs="仿宋"/>
          <w:color w:val="auto"/>
          <w:highlight w:val="none"/>
        </w:rPr>
      </w:pPr>
      <w:bookmarkStart w:id="114" w:name="_Toc16508"/>
      <w:bookmarkStart w:id="115" w:name="_Toc73704062"/>
      <w:bookmarkStart w:id="116" w:name="_Toc501460660"/>
      <w:r>
        <w:rPr>
          <w:rFonts w:hint="eastAsia" w:ascii="仿宋" w:hAnsi="仿宋" w:eastAsia="仿宋" w:cs="仿宋"/>
          <w:color w:val="auto"/>
          <w:highlight w:val="none"/>
        </w:rPr>
        <w:t>1.9 分包</w:t>
      </w:r>
      <w:bookmarkEnd w:id="114"/>
      <w:bookmarkEnd w:id="115"/>
      <w:bookmarkEnd w:id="116"/>
    </w:p>
    <w:p w14:paraId="7C5ADD9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供应商拟在成交后将成交项目的部分工作进行分包的，应符合供应商须知前附表的规定，并在响应文件中作出说明。</w:t>
      </w:r>
    </w:p>
    <w:p w14:paraId="4E2CCE90">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分包供应商不得将分包项目再次分包。成交供应商应当就分包项目向采购人负责，分包供应商就分包项目承担连带责任。</w:t>
      </w:r>
    </w:p>
    <w:p w14:paraId="0A6F1BBB">
      <w:pPr>
        <w:pStyle w:val="6"/>
        <w:spacing w:line="240" w:lineRule="auto"/>
        <w:ind w:firstLine="137"/>
        <w:rPr>
          <w:rFonts w:hint="eastAsia" w:ascii="仿宋" w:hAnsi="仿宋" w:eastAsia="仿宋" w:cs="仿宋"/>
          <w:color w:val="auto"/>
          <w:highlight w:val="none"/>
        </w:rPr>
      </w:pPr>
      <w:bookmarkStart w:id="117" w:name="_Toc7327"/>
      <w:bookmarkStart w:id="118" w:name="_Toc501460661"/>
      <w:r>
        <w:rPr>
          <w:rFonts w:hint="eastAsia" w:ascii="仿宋" w:hAnsi="仿宋" w:eastAsia="仿宋" w:cs="仿宋"/>
          <w:color w:val="auto"/>
          <w:highlight w:val="none"/>
        </w:rPr>
        <w:t>1.10 响应和偏差</w:t>
      </w:r>
      <w:bookmarkEnd w:id="117"/>
      <w:bookmarkEnd w:id="118"/>
    </w:p>
    <w:p w14:paraId="6AA93AA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1.10.1 采购需求和合同条款及格式中的关键条款均以“*”符号标记。响应文件应当对采购需求和合同条款及格式中的关键条款作出满足性或更有利于采购人的响应，否则，供应商的响应文件将被视为无效。</w:t>
      </w:r>
    </w:p>
    <w:p w14:paraId="279AD47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1.10.2 供应商须知前附表规定了对非关键条款允许偏差的范围和可以偏差的项数的，如响应文件存在的偏差超出上述范围或项数，将被视为无效。</w:t>
      </w:r>
    </w:p>
    <w:p w14:paraId="499585A6">
      <w:pPr>
        <w:pStyle w:val="5"/>
        <w:rPr>
          <w:rFonts w:hint="eastAsia" w:ascii="仿宋" w:hAnsi="仿宋" w:eastAsia="仿宋" w:cs="仿宋"/>
          <w:color w:val="auto"/>
          <w:highlight w:val="none"/>
        </w:rPr>
      </w:pPr>
      <w:bookmarkStart w:id="119" w:name="_Toc501460662"/>
      <w:bookmarkStart w:id="120" w:name="_Toc29724"/>
      <w:r>
        <w:rPr>
          <w:rFonts w:hint="eastAsia" w:ascii="仿宋" w:hAnsi="仿宋" w:eastAsia="仿宋" w:cs="仿宋"/>
          <w:color w:val="auto"/>
          <w:highlight w:val="none"/>
        </w:rPr>
        <w:t xml:space="preserve">2. </w:t>
      </w:r>
      <w:bookmarkEnd w:id="119"/>
      <w:r>
        <w:rPr>
          <w:rFonts w:hint="eastAsia" w:ascii="仿宋" w:hAnsi="仿宋" w:eastAsia="仿宋" w:cs="仿宋"/>
          <w:color w:val="auto"/>
          <w:highlight w:val="none"/>
        </w:rPr>
        <w:t>采购文件</w:t>
      </w:r>
      <w:bookmarkEnd w:id="120"/>
    </w:p>
    <w:p w14:paraId="34770D13">
      <w:pPr>
        <w:pStyle w:val="6"/>
        <w:spacing w:line="240" w:lineRule="auto"/>
        <w:ind w:firstLine="137"/>
        <w:rPr>
          <w:rFonts w:hint="eastAsia" w:ascii="仿宋" w:hAnsi="仿宋" w:eastAsia="仿宋" w:cs="仿宋"/>
          <w:color w:val="auto"/>
          <w:highlight w:val="none"/>
        </w:rPr>
      </w:pPr>
      <w:bookmarkStart w:id="121" w:name="_Toc16226"/>
      <w:bookmarkStart w:id="122" w:name="_Toc501460663"/>
      <w:r>
        <w:rPr>
          <w:rFonts w:hint="eastAsia" w:ascii="仿宋" w:hAnsi="仿宋" w:eastAsia="仿宋" w:cs="仿宋"/>
          <w:color w:val="auto"/>
          <w:highlight w:val="none"/>
        </w:rPr>
        <w:t>2.1 采购文件的组成</w:t>
      </w:r>
      <w:bookmarkEnd w:id="121"/>
    </w:p>
    <w:p w14:paraId="506BAC16">
      <w:pPr>
        <w:spacing w:line="400" w:lineRule="exact"/>
        <w:ind w:firstLine="410" w:firstLineChars="17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本采购文件包括：</w:t>
      </w:r>
    </w:p>
    <w:p w14:paraId="3C4CAA0F">
      <w:pPr>
        <w:spacing w:line="400" w:lineRule="exact"/>
        <w:ind w:firstLine="410" w:firstLineChars="17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（1）询比采购公告；</w:t>
      </w:r>
    </w:p>
    <w:p w14:paraId="17A18315">
      <w:pPr>
        <w:spacing w:line="400" w:lineRule="exact"/>
        <w:ind w:firstLine="410" w:firstLineChars="17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（2）供应商须知；</w:t>
      </w:r>
    </w:p>
    <w:p w14:paraId="19A65539">
      <w:pPr>
        <w:spacing w:line="400" w:lineRule="exact"/>
        <w:ind w:firstLine="410" w:firstLineChars="17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（3）评审办法；</w:t>
      </w:r>
    </w:p>
    <w:p w14:paraId="32D06BAA">
      <w:pPr>
        <w:spacing w:line="400" w:lineRule="exact"/>
        <w:ind w:firstLine="410" w:firstLineChars="17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（4）合同条款及格式；</w:t>
      </w:r>
    </w:p>
    <w:p w14:paraId="0A536D1F">
      <w:pPr>
        <w:spacing w:line="400" w:lineRule="exact"/>
        <w:ind w:firstLine="410" w:firstLineChars="17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（5）采购</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需求；</w:t>
      </w:r>
    </w:p>
    <w:p w14:paraId="6848F97D">
      <w:pPr>
        <w:spacing w:line="400" w:lineRule="exact"/>
        <w:ind w:firstLine="410" w:firstLineChars="17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（6）响应文件格式；</w:t>
      </w:r>
    </w:p>
    <w:p w14:paraId="1EADC1AC">
      <w:pPr>
        <w:spacing w:line="400" w:lineRule="exact"/>
        <w:ind w:firstLine="410" w:firstLineChars="17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（7）供应商须知前附表规定的其他资料。</w:t>
      </w:r>
    </w:p>
    <w:p w14:paraId="7DEC3F78">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采购人依照本章规定，对采购文件所做的澄清、修改，构成采购文件的组成部分。</w:t>
      </w:r>
    </w:p>
    <w:bookmarkEnd w:id="122"/>
    <w:p w14:paraId="2085AF1D">
      <w:pPr>
        <w:pStyle w:val="6"/>
        <w:spacing w:line="240" w:lineRule="auto"/>
        <w:ind w:firstLine="137"/>
        <w:rPr>
          <w:rFonts w:hint="eastAsia" w:ascii="仿宋" w:hAnsi="仿宋" w:eastAsia="仿宋" w:cs="仿宋"/>
          <w:color w:val="auto"/>
          <w:highlight w:val="none"/>
        </w:rPr>
      </w:pPr>
      <w:bookmarkStart w:id="123" w:name="_Toc485303289"/>
      <w:bookmarkStart w:id="124" w:name="_Toc501460664"/>
      <w:bookmarkStart w:id="125" w:name="_Toc26638"/>
      <w:bookmarkStart w:id="126" w:name="_Toc352691484"/>
      <w:bookmarkStart w:id="127" w:name="_Toc16623"/>
      <w:bookmarkStart w:id="128" w:name="_Toc144974508"/>
      <w:bookmarkStart w:id="129" w:name="_Toc300834960"/>
      <w:bookmarkStart w:id="130" w:name="_Toc384308220"/>
      <w:bookmarkStart w:id="131" w:name="_Toc247513963"/>
      <w:bookmarkStart w:id="132" w:name="_Toc152045540"/>
      <w:bookmarkStart w:id="133" w:name="_Toc361508595"/>
      <w:bookmarkStart w:id="134" w:name="_Toc152042316"/>
      <w:bookmarkStart w:id="135" w:name="_Toc247527564"/>
      <w:bookmarkStart w:id="136" w:name="_Toc369531526"/>
      <w:r>
        <w:rPr>
          <w:rFonts w:hint="eastAsia" w:ascii="仿宋" w:hAnsi="仿宋" w:eastAsia="仿宋" w:cs="仿宋"/>
          <w:color w:val="auto"/>
          <w:highlight w:val="none"/>
        </w:rPr>
        <w:t>2.2 采购文件的澄清</w:t>
      </w:r>
      <w:bookmarkEnd w:id="123"/>
      <w:bookmarkEnd w:id="124"/>
      <w:r>
        <w:rPr>
          <w:rFonts w:hint="eastAsia" w:ascii="仿宋" w:hAnsi="仿宋" w:eastAsia="仿宋" w:cs="仿宋"/>
          <w:color w:val="auto"/>
          <w:highlight w:val="none"/>
        </w:rPr>
        <w:t>和修改</w:t>
      </w:r>
      <w:bookmarkEnd w:id="125"/>
    </w:p>
    <w:p w14:paraId="73E3C241">
      <w:pPr>
        <w:spacing w:line="400" w:lineRule="exact"/>
        <w:ind w:firstLine="480" w:firstLineChars="200"/>
        <w:rPr>
          <w:rFonts w:hint="eastAsia" w:ascii="仿宋" w:hAnsi="仿宋" w:eastAsia="仿宋" w:cs="仿宋"/>
          <w:color w:val="auto"/>
          <w:sz w:val="24"/>
          <w:szCs w:val="24"/>
          <w:highlight w:val="none"/>
        </w:rPr>
      </w:pPr>
      <w:bookmarkStart w:id="137" w:name="_Toc352691479"/>
      <w:bookmarkStart w:id="138" w:name="_Toc485303290"/>
      <w:r>
        <w:rPr>
          <w:rFonts w:hint="eastAsia" w:ascii="仿宋" w:hAnsi="仿宋" w:eastAsia="仿宋" w:cs="仿宋"/>
          <w:color w:val="auto"/>
          <w:sz w:val="24"/>
          <w:szCs w:val="24"/>
          <w:highlight w:val="none"/>
        </w:rPr>
        <w:t>2.2.1 供应商应仔细阅读和检查采购文件的全部内容。如发现缺页或附件不全，应及时向采购人提出，以便补齐。如有疑问，应在</w:t>
      </w:r>
      <w:r>
        <w:rPr>
          <w:rFonts w:hint="eastAsia" w:ascii="仿宋" w:hAnsi="仿宋" w:eastAsia="仿宋" w:cs="仿宋"/>
          <w:iCs w:val="0"/>
          <w:color w:val="auto"/>
          <w:sz w:val="24"/>
          <w:szCs w:val="24"/>
          <w:highlight w:val="none"/>
        </w:rPr>
        <w:t>供应商须知前附表</w:t>
      </w:r>
      <w:r>
        <w:rPr>
          <w:rFonts w:hint="eastAsia" w:ascii="仿宋" w:hAnsi="仿宋" w:eastAsia="仿宋" w:cs="仿宋"/>
          <w:color w:val="auto"/>
          <w:sz w:val="24"/>
          <w:szCs w:val="24"/>
          <w:highlight w:val="none"/>
        </w:rPr>
        <w:t>规定的时间</w:t>
      </w:r>
      <w:r>
        <w:rPr>
          <w:rFonts w:hint="eastAsia" w:ascii="仿宋" w:hAnsi="仿宋" w:eastAsia="仿宋" w:cs="仿宋"/>
          <w:color w:val="auto"/>
          <w:sz w:val="24"/>
          <w:szCs w:val="24"/>
          <w:highlight w:val="none"/>
          <w:lang w:val="en-US" w:eastAsia="zh-CN"/>
        </w:rPr>
        <w:t>和</w:t>
      </w:r>
      <w:r>
        <w:rPr>
          <w:rFonts w:hint="eastAsia" w:ascii="仿宋" w:hAnsi="仿宋" w:eastAsia="仿宋" w:cs="仿宋"/>
          <w:color w:val="auto"/>
          <w:sz w:val="24"/>
          <w:szCs w:val="24"/>
          <w:highlight w:val="none"/>
        </w:rPr>
        <w:t>形式要求采购人对采购文件予以澄清。</w:t>
      </w:r>
    </w:p>
    <w:p w14:paraId="5156811E">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2.2.2 采购人可根据供应商的要求或主动对采购文件进行澄清或修改。澄清或修改的内容以补充文件的形式发给所有获取采购文件的供应商。采购人可视具体情况在补充文件中通知供应商推迟递交响应文件的截止时间。</w:t>
      </w:r>
    </w:p>
    <w:p w14:paraId="14438A17">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2.2.3 供应商在收到补充文件后，应按</w:t>
      </w:r>
      <w:r>
        <w:rPr>
          <w:rFonts w:hint="eastAsia" w:ascii="仿宋" w:hAnsi="仿宋" w:eastAsia="仿宋" w:cs="仿宋"/>
          <w:iCs/>
          <w:color w:val="auto"/>
          <w:sz w:val="24"/>
          <w:szCs w:val="24"/>
          <w:highlight w:val="none"/>
        </w:rPr>
        <w:t>供应商须知前附表</w:t>
      </w:r>
      <w:r>
        <w:rPr>
          <w:rFonts w:hint="eastAsia" w:ascii="仿宋" w:hAnsi="仿宋" w:eastAsia="仿宋" w:cs="仿宋"/>
          <w:color w:val="auto"/>
          <w:sz w:val="24"/>
          <w:szCs w:val="24"/>
          <w:highlight w:val="none"/>
        </w:rPr>
        <w:t>规定的时间和方式通知采购人，确认已收到该补充文件。</w:t>
      </w:r>
    </w:p>
    <w:p w14:paraId="1628DC5F">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2.2.4 除非确有必要，采购人有权拒绝回复供应商在本章第2.2.1项规定的时间后提出的任何澄清要求。</w:t>
      </w:r>
    </w:p>
    <w:bookmarkEnd w:id="126"/>
    <w:bookmarkEnd w:id="127"/>
    <w:bookmarkEnd w:id="128"/>
    <w:bookmarkEnd w:id="129"/>
    <w:bookmarkEnd w:id="130"/>
    <w:bookmarkEnd w:id="131"/>
    <w:bookmarkEnd w:id="132"/>
    <w:bookmarkEnd w:id="133"/>
    <w:bookmarkEnd w:id="134"/>
    <w:bookmarkEnd w:id="135"/>
    <w:bookmarkEnd w:id="136"/>
    <w:bookmarkEnd w:id="137"/>
    <w:bookmarkEnd w:id="138"/>
    <w:p w14:paraId="5E569D83">
      <w:pPr>
        <w:pStyle w:val="5"/>
        <w:rPr>
          <w:rFonts w:hint="eastAsia" w:ascii="仿宋" w:hAnsi="仿宋" w:eastAsia="仿宋" w:cs="仿宋"/>
          <w:color w:val="auto"/>
          <w:highlight w:val="none"/>
        </w:rPr>
      </w:pPr>
      <w:bookmarkStart w:id="139" w:name="_Toc501460667"/>
      <w:bookmarkStart w:id="140" w:name="_Toc3975"/>
      <w:r>
        <w:rPr>
          <w:rFonts w:hint="eastAsia" w:ascii="仿宋" w:hAnsi="仿宋" w:eastAsia="仿宋" w:cs="仿宋"/>
          <w:color w:val="auto"/>
          <w:highlight w:val="none"/>
        </w:rPr>
        <w:t xml:space="preserve">3. </w:t>
      </w:r>
      <w:bookmarkEnd w:id="139"/>
      <w:r>
        <w:rPr>
          <w:rFonts w:hint="eastAsia" w:ascii="仿宋" w:hAnsi="仿宋" w:eastAsia="仿宋" w:cs="仿宋"/>
          <w:color w:val="auto"/>
          <w:highlight w:val="none"/>
        </w:rPr>
        <w:t>响应文件</w:t>
      </w:r>
      <w:bookmarkEnd w:id="140"/>
    </w:p>
    <w:p w14:paraId="52BFF53C">
      <w:pPr>
        <w:pStyle w:val="6"/>
        <w:spacing w:line="240" w:lineRule="auto"/>
        <w:ind w:firstLine="137"/>
        <w:rPr>
          <w:rFonts w:hint="eastAsia" w:ascii="仿宋" w:hAnsi="仿宋" w:eastAsia="仿宋" w:cs="仿宋"/>
          <w:color w:val="auto"/>
          <w:highlight w:val="none"/>
        </w:rPr>
      </w:pPr>
      <w:bookmarkStart w:id="141" w:name="_Toc12756"/>
      <w:bookmarkStart w:id="142" w:name="_Toc501460668"/>
      <w:r>
        <w:rPr>
          <w:rFonts w:hint="eastAsia" w:ascii="仿宋" w:hAnsi="仿宋" w:eastAsia="仿宋" w:cs="仿宋"/>
          <w:color w:val="auto"/>
          <w:highlight w:val="none"/>
        </w:rPr>
        <w:t>3.1 响应文件的组成</w:t>
      </w:r>
      <w:bookmarkEnd w:id="141"/>
      <w:bookmarkEnd w:id="142"/>
    </w:p>
    <w:p w14:paraId="02CD1CB4">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3.1.1 响应文件应包括下列内容：</w:t>
      </w:r>
    </w:p>
    <w:p w14:paraId="794B35B5">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（1）响应函；</w:t>
      </w:r>
    </w:p>
    <w:p w14:paraId="244F1D1D">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（2）法定代表人（单位负责人）身份证明或授权委托书；</w:t>
      </w:r>
    </w:p>
    <w:p w14:paraId="04640A71">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）商务和技术偏差表；</w:t>
      </w:r>
    </w:p>
    <w:p w14:paraId="072B7BC8">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）资格审查资料；</w:t>
      </w:r>
    </w:p>
    <w:p w14:paraId="43B8D686">
      <w:pPr>
        <w:spacing w:line="400" w:lineRule="exact"/>
        <w:ind w:firstLine="405"/>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业绩；</w:t>
      </w:r>
    </w:p>
    <w:p w14:paraId="17BFECAA">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配送</w:t>
      </w:r>
      <w:r>
        <w:rPr>
          <w:rFonts w:hint="eastAsia" w:ascii="Times New Roman" w:hAnsi="Times New Roman" w:eastAsia="仿宋"/>
          <w:color w:val="auto"/>
          <w:sz w:val="24"/>
          <w:szCs w:val="24"/>
          <w:highlight w:val="none"/>
          <w:lang w:val="en-US" w:eastAsia="zh-CN"/>
        </w:rPr>
        <w:t>方案</w:t>
      </w:r>
      <w:r>
        <w:rPr>
          <w:rFonts w:hint="eastAsia" w:ascii="仿宋" w:hAnsi="仿宋" w:eastAsia="仿宋" w:cs="仿宋"/>
          <w:color w:val="auto"/>
          <w:sz w:val="24"/>
          <w:szCs w:val="24"/>
          <w:highlight w:val="none"/>
        </w:rPr>
        <w:t>；</w:t>
      </w:r>
    </w:p>
    <w:p w14:paraId="3A1359DC">
      <w:pPr>
        <w:spacing w:line="400" w:lineRule="exact"/>
        <w:ind w:firstLine="405"/>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服务承诺；</w:t>
      </w:r>
    </w:p>
    <w:p w14:paraId="69E94BED">
      <w:pPr>
        <w:spacing w:line="400" w:lineRule="exact"/>
        <w:ind w:firstLine="405"/>
        <w:rPr>
          <w:rFonts w:hint="eastAsia" w:ascii="仿宋" w:hAnsi="仿宋" w:eastAsia="仿宋" w:cs="仿宋"/>
          <w:color w:val="auto"/>
          <w:sz w:val="24"/>
          <w:szCs w:val="24"/>
          <w:highlight w:val="none"/>
        </w:rPr>
      </w:pPr>
      <w:r>
        <w:rPr>
          <w:rFonts w:ascii="Times New Roman" w:hAnsi="Times New Roman" w:eastAsia="仿宋"/>
          <w:color w:val="auto"/>
          <w:sz w:val="24"/>
          <w:szCs w:val="24"/>
          <w:highlight w:val="none"/>
        </w:rPr>
        <w:t>（</w:t>
      </w:r>
      <w:r>
        <w:rPr>
          <w:rFonts w:hint="eastAsia" w:ascii="Times New Roman" w:hAnsi="Times New Roman" w:eastAsia="仿宋"/>
          <w:color w:val="auto"/>
          <w:sz w:val="24"/>
          <w:szCs w:val="24"/>
          <w:highlight w:val="none"/>
          <w:lang w:val="en-US" w:eastAsia="zh-CN"/>
        </w:rPr>
        <w:t>8</w:t>
      </w:r>
      <w:r>
        <w:rPr>
          <w:rFonts w:ascii="Times New Roman" w:hAnsi="Times New Roman" w:eastAsia="仿宋"/>
          <w:color w:val="auto"/>
          <w:sz w:val="24"/>
          <w:szCs w:val="24"/>
          <w:highlight w:val="none"/>
        </w:rPr>
        <w:t>）</w:t>
      </w:r>
      <w:r>
        <w:rPr>
          <w:rFonts w:hint="eastAsia" w:ascii="Times New Roman" w:hAnsi="Times New Roman" w:eastAsia="仿宋"/>
          <w:color w:val="auto"/>
          <w:sz w:val="24"/>
          <w:szCs w:val="24"/>
          <w:highlight w:val="none"/>
          <w:lang w:val="en-US" w:eastAsia="zh-CN"/>
        </w:rPr>
        <w:t>其它资料</w:t>
      </w:r>
      <w:r>
        <w:rPr>
          <w:rFonts w:hint="eastAsia" w:ascii="仿宋" w:hAnsi="仿宋" w:eastAsia="仿宋" w:cs="仿宋"/>
          <w:color w:val="auto"/>
          <w:sz w:val="24"/>
          <w:szCs w:val="24"/>
          <w:highlight w:val="none"/>
        </w:rPr>
        <w:t>。</w:t>
      </w:r>
    </w:p>
    <w:p w14:paraId="5E14EF01">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供应商在评审过程中作出的符合采购文件要求的澄清、说明和补正，构成响应文件的组成部分。</w:t>
      </w:r>
    </w:p>
    <w:p w14:paraId="3CCA41BC">
      <w:pPr>
        <w:spacing w:line="400" w:lineRule="exact"/>
        <w:ind w:firstLine="410" w:firstLineChars="171"/>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3.1.2 供应商的法定代表人（单位负责人）亲自签署响应文件、亲自参加询比的，响应文件不包括第3.1.1（2）目所指的授权委托书</w:t>
      </w:r>
      <w:r>
        <w:rPr>
          <w:rFonts w:hint="eastAsia" w:ascii="仿宋" w:hAnsi="仿宋" w:eastAsia="仿宋" w:cs="仿宋"/>
          <w:color w:val="auto"/>
          <w:sz w:val="24"/>
          <w:szCs w:val="24"/>
          <w:highlight w:val="none"/>
          <w:lang w:eastAsia="zh-CN"/>
        </w:rPr>
        <w:t>。</w:t>
      </w:r>
    </w:p>
    <w:p w14:paraId="20E7941A">
      <w:pPr>
        <w:pStyle w:val="6"/>
        <w:spacing w:line="240" w:lineRule="auto"/>
        <w:ind w:firstLine="137"/>
        <w:rPr>
          <w:rFonts w:hint="eastAsia" w:ascii="仿宋" w:hAnsi="仿宋" w:eastAsia="仿宋" w:cs="仿宋"/>
          <w:color w:val="auto"/>
          <w:highlight w:val="none"/>
        </w:rPr>
      </w:pPr>
      <w:bookmarkStart w:id="143" w:name="_Toc501460669"/>
      <w:bookmarkStart w:id="144" w:name="_Toc18742"/>
      <w:r>
        <w:rPr>
          <w:rFonts w:hint="eastAsia" w:ascii="仿宋" w:hAnsi="仿宋" w:eastAsia="仿宋" w:cs="仿宋"/>
          <w:color w:val="auto"/>
          <w:highlight w:val="none"/>
        </w:rPr>
        <w:t>3.2 报价</w:t>
      </w:r>
      <w:bookmarkEnd w:id="143"/>
      <w:bookmarkEnd w:id="144"/>
    </w:p>
    <w:p w14:paraId="3596B0AF">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3.2.1 报价应包括国家规定的增值税税金，除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须知前附表另有规定外，增值税税金按一般计税方法计算。</w:t>
      </w:r>
    </w:p>
    <w:p w14:paraId="61354552">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3.2.2 供应商应充分了解采购项目的总体情况以及影响报价的其他要素。对于货物和服务采购项目，采购人在签署成交合同时及合同履行过程中，有权在供应商须知前附表规定的幅度内对采购标的的数量进行增加或减少。</w:t>
      </w:r>
    </w:p>
    <w:p w14:paraId="739824A7">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3.2.3 采购人设有最高限价的，供应商的报价不得超过最高限价。最高限价或最高限价计算方法在</w:t>
      </w:r>
      <w:bookmarkStart w:id="145" w:name="_Toc247513968"/>
      <w:bookmarkStart w:id="146" w:name="_Toc369531531"/>
      <w:bookmarkStart w:id="147" w:name="_Toc384308225"/>
      <w:bookmarkStart w:id="148" w:name="_Toc352691488"/>
      <w:bookmarkStart w:id="149" w:name="_Toc247527569"/>
      <w:bookmarkStart w:id="150" w:name="_Toc152045544"/>
      <w:bookmarkStart w:id="151" w:name="_Toc144974512"/>
      <w:bookmarkStart w:id="152" w:name="_Toc10429"/>
      <w:bookmarkStart w:id="153" w:name="_Toc300834965"/>
      <w:bookmarkStart w:id="154" w:name="_Toc152042320"/>
      <w:bookmarkStart w:id="155" w:name="_Toc361508600"/>
      <w:r>
        <w:rPr>
          <w:rFonts w:hint="eastAsia" w:ascii="仿宋" w:hAnsi="仿宋" w:eastAsia="仿宋" w:cs="仿宋"/>
          <w:iCs/>
          <w:color w:val="auto"/>
          <w:sz w:val="24"/>
          <w:szCs w:val="24"/>
          <w:highlight w:val="none"/>
        </w:rPr>
        <w:t>供应商须知前附表</w:t>
      </w:r>
      <w:r>
        <w:rPr>
          <w:rFonts w:hint="eastAsia" w:ascii="仿宋" w:hAnsi="仿宋" w:eastAsia="仿宋" w:cs="仿宋"/>
          <w:color w:val="auto"/>
          <w:sz w:val="24"/>
          <w:szCs w:val="24"/>
          <w:highlight w:val="none"/>
        </w:rPr>
        <w:t>中载明。</w:t>
      </w:r>
      <w:bookmarkEnd w:id="145"/>
      <w:bookmarkEnd w:id="146"/>
      <w:bookmarkEnd w:id="147"/>
      <w:bookmarkEnd w:id="148"/>
      <w:bookmarkEnd w:id="149"/>
      <w:bookmarkEnd w:id="150"/>
      <w:bookmarkEnd w:id="151"/>
      <w:bookmarkEnd w:id="152"/>
      <w:bookmarkEnd w:id="153"/>
      <w:bookmarkEnd w:id="154"/>
      <w:bookmarkEnd w:id="155"/>
    </w:p>
    <w:p w14:paraId="1D895CF2">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3.2.4 本项目的报价方式见</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须知前附表。</w:t>
      </w:r>
    </w:p>
    <w:p w14:paraId="083D47C2">
      <w:pPr>
        <w:pStyle w:val="6"/>
        <w:spacing w:line="240" w:lineRule="auto"/>
        <w:ind w:firstLine="137"/>
        <w:rPr>
          <w:rFonts w:hint="eastAsia" w:ascii="仿宋" w:hAnsi="仿宋" w:eastAsia="仿宋" w:cs="仿宋"/>
          <w:color w:val="auto"/>
          <w:highlight w:val="none"/>
        </w:rPr>
      </w:pPr>
      <w:bookmarkStart w:id="156" w:name="_Toc28386"/>
      <w:bookmarkStart w:id="157" w:name="_Toc501460670"/>
      <w:r>
        <w:rPr>
          <w:rFonts w:hint="eastAsia" w:ascii="仿宋" w:hAnsi="仿宋" w:eastAsia="仿宋" w:cs="仿宋"/>
          <w:color w:val="auto"/>
          <w:highlight w:val="none"/>
        </w:rPr>
        <w:t>3.3 响应文件有效期</w:t>
      </w:r>
      <w:bookmarkEnd w:id="156"/>
      <w:bookmarkEnd w:id="157"/>
    </w:p>
    <w:p w14:paraId="4DB82E40">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3.3.1 除</w:t>
      </w:r>
      <w:r>
        <w:rPr>
          <w:rFonts w:hint="eastAsia" w:ascii="仿宋" w:hAnsi="仿宋" w:eastAsia="仿宋" w:cs="仿宋"/>
          <w:iCs/>
          <w:color w:val="auto"/>
          <w:sz w:val="24"/>
          <w:szCs w:val="24"/>
          <w:highlight w:val="none"/>
        </w:rPr>
        <w:t>供应商须知前附表</w:t>
      </w:r>
      <w:r>
        <w:rPr>
          <w:rFonts w:hint="eastAsia" w:ascii="仿宋" w:hAnsi="仿宋" w:eastAsia="仿宋" w:cs="仿宋"/>
          <w:color w:val="auto"/>
          <w:sz w:val="24"/>
          <w:szCs w:val="24"/>
          <w:highlight w:val="none"/>
        </w:rPr>
        <w:t>另有规定外，响应文件有效期应为90日，从采购文件规定的递交响应文件的截止时间开始计算。</w:t>
      </w:r>
    </w:p>
    <w:p w14:paraId="5E47A01A">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3.3.2 出现特殊情况需要延长响应文件有效期的，采购人以书面形式通知所有供应商延长响应文件有效期。供应商应予以书面答复。同意延长的，应相应延长其响应保证金的有效期，但不得修改其响应文件；供应商拒绝延长的，其响应文件在原有效期届满后失效，但供应商有权收回其响应保证金。</w:t>
      </w:r>
    </w:p>
    <w:p w14:paraId="7B322A69">
      <w:pPr>
        <w:pStyle w:val="6"/>
        <w:spacing w:line="240" w:lineRule="auto"/>
        <w:ind w:firstLine="137"/>
        <w:rPr>
          <w:rFonts w:hint="eastAsia" w:ascii="仿宋" w:hAnsi="仿宋" w:eastAsia="仿宋" w:cs="仿宋"/>
          <w:color w:val="auto"/>
          <w:highlight w:val="none"/>
        </w:rPr>
      </w:pPr>
      <w:bookmarkStart w:id="158" w:name="_Toc501460671"/>
      <w:bookmarkStart w:id="159" w:name="_Toc18006"/>
      <w:r>
        <w:rPr>
          <w:rFonts w:hint="eastAsia" w:ascii="仿宋" w:hAnsi="仿宋" w:eastAsia="仿宋" w:cs="仿宋"/>
          <w:color w:val="auto"/>
          <w:highlight w:val="none"/>
        </w:rPr>
        <w:t xml:space="preserve">3.4 </w:t>
      </w:r>
      <w:bookmarkEnd w:id="158"/>
      <w:r>
        <w:rPr>
          <w:rFonts w:hint="eastAsia" w:ascii="仿宋" w:hAnsi="仿宋" w:eastAsia="仿宋" w:cs="仿宋"/>
          <w:color w:val="auto"/>
          <w:highlight w:val="none"/>
        </w:rPr>
        <w:t>响应保证金</w:t>
      </w:r>
      <w:bookmarkEnd w:id="159"/>
    </w:p>
    <w:p w14:paraId="06249327">
      <w:pPr>
        <w:pStyle w:val="6"/>
        <w:spacing w:line="240" w:lineRule="auto"/>
        <w:ind w:firstLine="597" w:firstLineChars="249"/>
        <w:rPr>
          <w:rFonts w:hint="eastAsia" w:ascii="仿宋" w:hAnsi="仿宋" w:eastAsia="仿宋" w:cs="仿宋"/>
          <w:color w:val="auto"/>
          <w:sz w:val="24"/>
          <w:szCs w:val="24"/>
          <w:highlight w:val="none"/>
          <w:lang w:val="en-US" w:eastAsia="zh-CN"/>
        </w:rPr>
      </w:pPr>
      <w:bookmarkStart w:id="160" w:name="_Toc702"/>
      <w:bookmarkStart w:id="161" w:name="_Toc501460673"/>
      <w:r>
        <w:rPr>
          <w:rFonts w:hint="eastAsia" w:ascii="仿宋" w:hAnsi="仿宋" w:eastAsia="仿宋" w:cs="仿宋"/>
          <w:color w:val="auto"/>
          <w:sz w:val="24"/>
          <w:szCs w:val="24"/>
          <w:highlight w:val="none"/>
          <w:lang w:val="en-US" w:eastAsia="zh-CN"/>
        </w:rPr>
        <w:t>无</w:t>
      </w:r>
    </w:p>
    <w:p w14:paraId="46E936C6">
      <w:pPr>
        <w:pStyle w:val="6"/>
        <w:spacing w:line="240" w:lineRule="auto"/>
        <w:ind w:firstLine="137"/>
        <w:rPr>
          <w:rFonts w:hint="eastAsia" w:ascii="仿宋" w:hAnsi="仿宋" w:eastAsia="仿宋" w:cs="仿宋"/>
          <w:color w:val="auto"/>
          <w:highlight w:val="none"/>
        </w:rPr>
      </w:pPr>
      <w:r>
        <w:rPr>
          <w:rFonts w:hint="eastAsia" w:ascii="仿宋" w:hAnsi="仿宋" w:eastAsia="仿宋" w:cs="仿宋"/>
          <w:color w:val="auto"/>
          <w:highlight w:val="none"/>
        </w:rPr>
        <w:t>3.5 资格审查资料</w:t>
      </w:r>
      <w:bookmarkEnd w:id="160"/>
      <w:bookmarkEnd w:id="161"/>
    </w:p>
    <w:p w14:paraId="56A1E3F6">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应按照</w:t>
      </w:r>
      <w:r>
        <w:rPr>
          <w:rFonts w:hint="eastAsia" w:ascii="仿宋" w:hAnsi="仿宋" w:eastAsia="仿宋" w:cs="仿宋"/>
          <w:color w:val="auto"/>
          <w:sz w:val="24"/>
          <w:szCs w:val="24"/>
          <w:highlight w:val="none"/>
          <w:lang w:val="en-US" w:eastAsia="zh-CN"/>
        </w:rPr>
        <w:t>询比采购公告</w:t>
      </w:r>
      <w:r>
        <w:rPr>
          <w:rFonts w:hint="eastAsia" w:ascii="仿宋" w:hAnsi="仿宋" w:eastAsia="仿宋" w:cs="仿宋"/>
          <w:color w:val="auto"/>
          <w:sz w:val="24"/>
          <w:szCs w:val="24"/>
          <w:highlight w:val="none"/>
        </w:rPr>
        <w:t>要求提供资格审查资料，内容及格式见第六章“</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文件格式”要求。</w:t>
      </w:r>
    </w:p>
    <w:p w14:paraId="1AAB02A5">
      <w:pPr>
        <w:pStyle w:val="6"/>
        <w:spacing w:line="240" w:lineRule="auto"/>
        <w:ind w:firstLine="137"/>
        <w:rPr>
          <w:rFonts w:hint="eastAsia" w:ascii="仿宋" w:hAnsi="仿宋" w:eastAsia="仿宋" w:cs="仿宋"/>
          <w:color w:val="auto"/>
          <w:highlight w:val="none"/>
        </w:rPr>
      </w:pPr>
      <w:bookmarkStart w:id="162" w:name="_Toc501460674"/>
      <w:bookmarkStart w:id="163" w:name="_Toc28844"/>
      <w:r>
        <w:rPr>
          <w:rFonts w:hint="eastAsia" w:ascii="仿宋" w:hAnsi="仿宋" w:eastAsia="仿宋" w:cs="仿宋"/>
          <w:color w:val="auto"/>
          <w:highlight w:val="none"/>
        </w:rPr>
        <w:t>3.</w:t>
      </w:r>
      <w:bookmarkEnd w:id="162"/>
      <w:r>
        <w:rPr>
          <w:rFonts w:hint="eastAsia" w:ascii="仿宋" w:hAnsi="仿宋" w:eastAsia="仿宋" w:cs="仿宋"/>
          <w:color w:val="auto"/>
          <w:highlight w:val="none"/>
        </w:rPr>
        <w:t>6 响应方案</w:t>
      </w:r>
      <w:bookmarkEnd w:id="163"/>
    </w:p>
    <w:p w14:paraId="421B930B">
      <w:pPr>
        <w:spacing w:line="400" w:lineRule="exact"/>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详见前附表及响应文件格式。</w:t>
      </w:r>
    </w:p>
    <w:p w14:paraId="69A23023">
      <w:pPr>
        <w:pStyle w:val="6"/>
        <w:spacing w:line="240" w:lineRule="auto"/>
        <w:ind w:firstLine="137"/>
        <w:rPr>
          <w:rFonts w:hint="eastAsia" w:ascii="仿宋" w:hAnsi="仿宋" w:eastAsia="仿宋" w:cs="仿宋"/>
          <w:color w:val="auto"/>
          <w:highlight w:val="none"/>
        </w:rPr>
      </w:pPr>
      <w:bookmarkStart w:id="164" w:name="_Toc15143"/>
      <w:bookmarkStart w:id="165" w:name="_Toc501460675"/>
      <w:r>
        <w:rPr>
          <w:rFonts w:hint="eastAsia" w:ascii="仿宋" w:hAnsi="仿宋" w:eastAsia="仿宋" w:cs="仿宋"/>
          <w:color w:val="auto"/>
          <w:highlight w:val="none"/>
        </w:rPr>
        <w:t>3.7 响应文件的编制</w:t>
      </w:r>
      <w:bookmarkEnd w:id="164"/>
      <w:bookmarkEnd w:id="165"/>
    </w:p>
    <w:p w14:paraId="4139DE38">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3.7.1 响应文件应按第六章“响应文件格式”进行编写，如有必要，可以增加附页，作为响应文件的组成部分。</w:t>
      </w:r>
    </w:p>
    <w:p w14:paraId="14ED622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3.7.2 响应文件应当对</w:t>
      </w:r>
      <w:r>
        <w:rPr>
          <w:rFonts w:hint="eastAsia" w:ascii="仿宋" w:hAnsi="仿宋" w:eastAsia="仿宋" w:cs="仿宋"/>
          <w:color w:val="auto"/>
          <w:sz w:val="24"/>
          <w:szCs w:val="24"/>
          <w:highlight w:val="none"/>
          <w:lang w:eastAsia="zh-CN"/>
        </w:rPr>
        <w:t>询比</w:t>
      </w:r>
      <w:r>
        <w:rPr>
          <w:rFonts w:hint="eastAsia" w:ascii="仿宋" w:hAnsi="仿宋" w:eastAsia="仿宋" w:cs="仿宋"/>
          <w:color w:val="auto"/>
          <w:sz w:val="24"/>
          <w:szCs w:val="24"/>
          <w:highlight w:val="none"/>
        </w:rPr>
        <w:t>文件有关</w:t>
      </w:r>
      <w:r>
        <w:rPr>
          <w:rFonts w:hint="eastAsia" w:ascii="仿宋" w:hAnsi="仿宋" w:eastAsia="仿宋" w:cs="仿宋"/>
          <w:color w:val="auto"/>
          <w:sz w:val="24"/>
          <w:szCs w:val="24"/>
          <w:highlight w:val="none"/>
          <w:lang w:val="en-US" w:eastAsia="zh-CN"/>
        </w:rPr>
        <w:t>服务期限</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响应文件</w:t>
      </w:r>
      <w:r>
        <w:rPr>
          <w:rFonts w:hint="eastAsia" w:ascii="仿宋" w:hAnsi="仿宋" w:eastAsia="仿宋" w:cs="仿宋"/>
          <w:color w:val="auto"/>
          <w:sz w:val="24"/>
          <w:szCs w:val="24"/>
          <w:highlight w:val="none"/>
        </w:rPr>
        <w:t>有效期、</w:t>
      </w:r>
      <w:r>
        <w:rPr>
          <w:rFonts w:hint="eastAsia" w:ascii="仿宋" w:hAnsi="仿宋" w:eastAsia="仿宋" w:cs="仿宋"/>
          <w:color w:val="auto"/>
          <w:sz w:val="24"/>
          <w:szCs w:val="24"/>
          <w:highlight w:val="none"/>
          <w:lang w:val="en-US" w:eastAsia="zh-CN"/>
        </w:rPr>
        <w:t>服务需求</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范围等实质性内容作出响应。</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文件在满足</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文件实质性要求的基础上，可以提出比</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文件要求更有利于</w:t>
      </w:r>
      <w:r>
        <w:rPr>
          <w:rFonts w:hint="eastAsia" w:ascii="仿宋" w:hAnsi="仿宋" w:eastAsia="仿宋" w:cs="仿宋"/>
          <w:color w:val="auto"/>
          <w:sz w:val="24"/>
          <w:szCs w:val="24"/>
          <w:highlight w:val="none"/>
          <w:lang w:val="en-US" w:eastAsia="zh-CN"/>
        </w:rPr>
        <w:t>采购人</w:t>
      </w:r>
      <w:r>
        <w:rPr>
          <w:rFonts w:hint="eastAsia" w:ascii="仿宋" w:hAnsi="仿宋" w:eastAsia="仿宋" w:cs="仿宋"/>
          <w:color w:val="auto"/>
          <w:sz w:val="24"/>
          <w:szCs w:val="24"/>
          <w:highlight w:val="none"/>
        </w:rPr>
        <w:t>的承诺。</w:t>
      </w:r>
    </w:p>
    <w:p w14:paraId="742CAA7D">
      <w:pPr>
        <w:pStyle w:val="5"/>
        <w:rPr>
          <w:rFonts w:hint="eastAsia" w:ascii="仿宋" w:hAnsi="仿宋" w:eastAsia="仿宋" w:cs="仿宋"/>
          <w:color w:val="auto"/>
          <w:highlight w:val="none"/>
        </w:rPr>
      </w:pPr>
      <w:bookmarkStart w:id="166" w:name="_Toc501460676"/>
      <w:bookmarkStart w:id="167" w:name="_Toc26070"/>
      <w:r>
        <w:rPr>
          <w:rFonts w:hint="eastAsia" w:ascii="仿宋" w:hAnsi="仿宋" w:eastAsia="仿宋" w:cs="仿宋"/>
          <w:color w:val="auto"/>
          <w:highlight w:val="none"/>
        </w:rPr>
        <w:t xml:space="preserve">4. </w:t>
      </w:r>
      <w:bookmarkEnd w:id="166"/>
      <w:r>
        <w:rPr>
          <w:rFonts w:hint="eastAsia" w:ascii="仿宋" w:hAnsi="仿宋" w:eastAsia="仿宋" w:cs="仿宋"/>
          <w:color w:val="auto"/>
          <w:highlight w:val="none"/>
        </w:rPr>
        <w:t>响应文件的递交</w:t>
      </w:r>
      <w:bookmarkEnd w:id="167"/>
    </w:p>
    <w:p w14:paraId="715438BD">
      <w:pPr>
        <w:pStyle w:val="5"/>
        <w:ind w:firstLine="480" w:firstLineChars="200"/>
        <w:rPr>
          <w:rFonts w:hint="default" w:ascii="仿宋" w:hAnsi="仿宋" w:eastAsia="仿宋" w:cs="仿宋"/>
          <w:b w:val="0"/>
          <w:color w:val="auto"/>
          <w:kern w:val="2"/>
          <w:sz w:val="24"/>
          <w:szCs w:val="24"/>
          <w:highlight w:val="none"/>
          <w:lang w:val="en-US" w:eastAsia="zh-CN" w:bidi="ar-SA"/>
        </w:rPr>
      </w:pPr>
      <w:bookmarkStart w:id="168" w:name="_Toc4691"/>
      <w:bookmarkStart w:id="169" w:name="_Toc501460680"/>
      <w:r>
        <w:rPr>
          <w:rFonts w:hint="eastAsia" w:ascii="仿宋" w:hAnsi="仿宋" w:eastAsia="仿宋" w:cs="仿宋"/>
          <w:b w:val="0"/>
          <w:color w:val="auto"/>
          <w:kern w:val="2"/>
          <w:sz w:val="24"/>
          <w:szCs w:val="24"/>
          <w:highlight w:val="none"/>
          <w:lang w:val="en-US" w:eastAsia="zh-CN" w:bidi="ar-SA"/>
        </w:rPr>
        <w:t>详见前附表。</w:t>
      </w:r>
    </w:p>
    <w:p w14:paraId="0875E312">
      <w:pPr>
        <w:pStyle w:val="5"/>
        <w:rPr>
          <w:rFonts w:hint="eastAsia" w:ascii="仿宋" w:hAnsi="仿宋" w:eastAsia="仿宋" w:cs="仿宋"/>
          <w:color w:val="auto"/>
          <w:highlight w:val="none"/>
        </w:rPr>
      </w:pPr>
      <w:r>
        <w:rPr>
          <w:rFonts w:hint="eastAsia" w:ascii="仿宋" w:hAnsi="仿宋" w:eastAsia="仿宋" w:cs="仿宋"/>
          <w:color w:val="auto"/>
          <w:highlight w:val="none"/>
        </w:rPr>
        <w:t>5. 开启响应文件</w:t>
      </w:r>
      <w:bookmarkEnd w:id="168"/>
      <w:bookmarkEnd w:id="169"/>
    </w:p>
    <w:p w14:paraId="772C9383">
      <w:pPr>
        <w:pStyle w:val="6"/>
        <w:spacing w:line="240" w:lineRule="auto"/>
        <w:ind w:firstLine="137"/>
        <w:rPr>
          <w:rFonts w:hint="eastAsia" w:ascii="仿宋" w:hAnsi="仿宋" w:eastAsia="仿宋" w:cs="仿宋"/>
          <w:color w:val="auto"/>
          <w:highlight w:val="none"/>
        </w:rPr>
      </w:pPr>
      <w:bookmarkStart w:id="170" w:name="_Toc13186"/>
      <w:bookmarkStart w:id="171" w:name="_Toc501460683"/>
      <w:r>
        <w:rPr>
          <w:rFonts w:hint="eastAsia" w:ascii="仿宋" w:hAnsi="仿宋" w:eastAsia="仿宋" w:cs="仿宋"/>
          <w:color w:val="auto"/>
          <w:highlight w:val="none"/>
        </w:rPr>
        <w:t>5.1 开启响应文件的时间和地点</w:t>
      </w:r>
      <w:bookmarkEnd w:id="170"/>
    </w:p>
    <w:p w14:paraId="3A74BD21">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采购人在本章第4.2.1项</w:t>
      </w:r>
      <w:r>
        <w:rPr>
          <w:rFonts w:hint="eastAsia" w:ascii="仿宋" w:hAnsi="仿宋" w:eastAsia="仿宋" w:cs="仿宋"/>
          <w:color w:val="auto"/>
          <w:sz w:val="24"/>
          <w:szCs w:val="24"/>
          <w:highlight w:val="none"/>
          <w:lang w:val="en-US" w:eastAsia="zh-CN"/>
        </w:rPr>
        <w:t>及</w:t>
      </w:r>
      <w:r>
        <w:rPr>
          <w:rFonts w:hint="eastAsia" w:ascii="仿宋" w:hAnsi="仿宋" w:eastAsia="仿宋" w:cs="仿宋"/>
          <w:color w:val="auto"/>
          <w:sz w:val="24"/>
          <w:szCs w:val="24"/>
          <w:highlight w:val="none"/>
        </w:rPr>
        <w:t>4.2.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项规定的递交响应文件的截止时间和地点公开开启响应文件。</w:t>
      </w:r>
    </w:p>
    <w:p w14:paraId="17C964EE">
      <w:pPr>
        <w:pStyle w:val="6"/>
        <w:spacing w:line="240" w:lineRule="auto"/>
        <w:ind w:firstLine="137"/>
        <w:rPr>
          <w:rFonts w:hint="eastAsia" w:ascii="仿宋" w:hAnsi="仿宋" w:eastAsia="仿宋" w:cs="仿宋"/>
          <w:color w:val="auto"/>
          <w:highlight w:val="none"/>
        </w:rPr>
      </w:pPr>
      <w:bookmarkStart w:id="172" w:name="_Toc28849"/>
      <w:r>
        <w:rPr>
          <w:rFonts w:hint="eastAsia" w:ascii="仿宋" w:hAnsi="仿宋" w:eastAsia="仿宋" w:cs="仿宋"/>
          <w:color w:val="auto"/>
          <w:highlight w:val="none"/>
        </w:rPr>
        <w:t>5.2 开启程序</w:t>
      </w:r>
      <w:bookmarkEnd w:id="171"/>
      <w:bookmarkEnd w:id="172"/>
    </w:p>
    <w:p w14:paraId="55D9BF5C">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主持人按照下列程序进行</w:t>
      </w:r>
      <w:r>
        <w:rPr>
          <w:rFonts w:hint="eastAsia" w:ascii="仿宋" w:hAnsi="仿宋" w:eastAsia="仿宋" w:cs="仿宋"/>
          <w:color w:val="auto"/>
          <w:sz w:val="24"/>
          <w:szCs w:val="24"/>
          <w:highlight w:val="none"/>
          <w:lang w:val="en-US" w:eastAsia="zh-CN"/>
        </w:rPr>
        <w:t>开启</w:t>
      </w:r>
      <w:r>
        <w:rPr>
          <w:rFonts w:hint="eastAsia" w:ascii="仿宋" w:hAnsi="仿宋" w:eastAsia="仿宋" w:cs="仿宋"/>
          <w:color w:val="auto"/>
          <w:sz w:val="24"/>
          <w:szCs w:val="24"/>
          <w:highlight w:val="none"/>
        </w:rPr>
        <w:t>：</w:t>
      </w:r>
    </w:p>
    <w:p w14:paraId="2E5C4ED7">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（1）公布在递交响应文件的截止时间前完成</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文件递交的</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名称；</w:t>
      </w:r>
    </w:p>
    <w:p w14:paraId="32963A34">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（2）由</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推选的代表检查</w:t>
      </w:r>
      <w:r>
        <w:rPr>
          <w:rFonts w:hint="eastAsia" w:ascii="仿宋" w:hAnsi="仿宋" w:eastAsia="仿宋" w:cs="仿宋"/>
          <w:color w:val="auto"/>
          <w:sz w:val="24"/>
          <w:szCs w:val="24"/>
          <w:highlight w:val="none"/>
          <w:lang w:val="en-US" w:eastAsia="zh-CN"/>
        </w:rPr>
        <w:t>纸质响应</w:t>
      </w:r>
      <w:r>
        <w:rPr>
          <w:rFonts w:hint="eastAsia" w:ascii="仿宋" w:hAnsi="仿宋" w:eastAsia="仿宋" w:cs="仿宋"/>
          <w:color w:val="auto"/>
          <w:sz w:val="24"/>
          <w:szCs w:val="24"/>
          <w:highlight w:val="none"/>
        </w:rPr>
        <w:t>文件的密封情况；</w:t>
      </w:r>
    </w:p>
    <w:p w14:paraId="4B60A24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（3）公布</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lang w:val="en-US" w:eastAsia="zh-CN"/>
        </w:rPr>
        <w:t>采购项目名称、采购包</w:t>
      </w: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报价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如有</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等信息</w:t>
      </w:r>
      <w:r>
        <w:rPr>
          <w:rFonts w:hint="eastAsia" w:ascii="仿宋" w:hAnsi="仿宋" w:eastAsia="仿宋" w:cs="仿宋"/>
          <w:color w:val="auto"/>
          <w:sz w:val="24"/>
          <w:szCs w:val="24"/>
          <w:highlight w:val="none"/>
        </w:rPr>
        <w:t>；</w:t>
      </w:r>
    </w:p>
    <w:p w14:paraId="157624D5">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（4）开启会议结束。</w:t>
      </w:r>
    </w:p>
    <w:p w14:paraId="657A9F3A">
      <w:pPr>
        <w:pStyle w:val="6"/>
        <w:spacing w:line="240" w:lineRule="auto"/>
        <w:ind w:firstLine="137"/>
        <w:rPr>
          <w:rFonts w:hint="eastAsia" w:ascii="仿宋" w:hAnsi="仿宋" w:eastAsia="仿宋" w:cs="仿宋"/>
          <w:color w:val="auto"/>
          <w:highlight w:val="none"/>
        </w:rPr>
      </w:pPr>
      <w:bookmarkStart w:id="173" w:name="_Toc4770"/>
      <w:r>
        <w:rPr>
          <w:rFonts w:hint="eastAsia" w:ascii="仿宋" w:hAnsi="仿宋" w:eastAsia="仿宋" w:cs="仿宋"/>
          <w:color w:val="auto"/>
          <w:highlight w:val="none"/>
        </w:rPr>
        <w:t>5.3 递交响应文件的供应商不足的情形</w:t>
      </w:r>
      <w:bookmarkEnd w:id="173"/>
    </w:p>
    <w:p w14:paraId="19B8BE38">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采购项目选择一家成交供应商时，递交响应文件的供应商数量不足三家的，或采购项目选择多家成交供应商时，递交响应文件的供应商数量少于供应商须知前附表规定数量的，采购人可按照下述情形分别处理：</w:t>
      </w:r>
    </w:p>
    <w:p w14:paraId="70C5F9E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（1）终止询比并重新组织采购</w:t>
      </w:r>
    </w:p>
    <w:p w14:paraId="3D0F8582">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采购项目存在影响公平竞争情形的，采购人应当终止询比采购，并根据不同情形和原因，采取相应纠正措施，重新组织采购。</w:t>
      </w:r>
    </w:p>
    <w:p w14:paraId="27714541">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采购项目不存在影响公平竞争情形的，采购人也可以选择终止询比采购，采取相应完善措施，重新组织采购。</w:t>
      </w:r>
    </w:p>
    <w:p w14:paraId="1E34D237">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（2）继续询比采购</w:t>
      </w:r>
    </w:p>
    <w:p w14:paraId="1C46B0B0">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项目不存在应该终止询比情形，且采购人也没有自行选择终止询比采购的，采购人应按照本章第5.2款规定的程序继续开启响应文件，并按第三章“评审办法”规定的规则组织响应文件评审，完成询比采购后续程序。</w:t>
      </w:r>
    </w:p>
    <w:p w14:paraId="68378C0C">
      <w:pPr>
        <w:pStyle w:val="5"/>
        <w:rPr>
          <w:rFonts w:hint="eastAsia" w:ascii="仿宋" w:hAnsi="仿宋" w:eastAsia="仿宋" w:cs="仿宋"/>
          <w:color w:val="auto"/>
          <w:highlight w:val="none"/>
        </w:rPr>
      </w:pPr>
      <w:bookmarkStart w:id="174" w:name="_Toc501460685"/>
      <w:bookmarkStart w:id="175" w:name="_Toc11586"/>
      <w:r>
        <w:rPr>
          <w:rFonts w:hint="eastAsia" w:ascii="仿宋" w:hAnsi="仿宋" w:eastAsia="仿宋" w:cs="仿宋"/>
          <w:color w:val="auto"/>
          <w:highlight w:val="none"/>
        </w:rPr>
        <w:t>6.</w:t>
      </w:r>
      <w:bookmarkEnd w:id="174"/>
      <w:r>
        <w:rPr>
          <w:rFonts w:hint="eastAsia" w:ascii="仿宋" w:hAnsi="仿宋" w:eastAsia="仿宋" w:cs="仿宋"/>
          <w:color w:val="auto"/>
          <w:highlight w:val="none"/>
        </w:rPr>
        <w:t>评审</w:t>
      </w:r>
      <w:bookmarkEnd w:id="175"/>
    </w:p>
    <w:p w14:paraId="4B765005">
      <w:pPr>
        <w:pStyle w:val="6"/>
        <w:spacing w:line="240" w:lineRule="auto"/>
        <w:ind w:firstLine="137"/>
        <w:rPr>
          <w:rFonts w:hint="eastAsia" w:ascii="仿宋" w:hAnsi="仿宋" w:eastAsia="仿宋" w:cs="仿宋"/>
          <w:color w:val="auto"/>
          <w:highlight w:val="none"/>
        </w:rPr>
      </w:pPr>
      <w:bookmarkStart w:id="176" w:name="_Toc501460686"/>
      <w:bookmarkStart w:id="177" w:name="_Toc30005"/>
      <w:r>
        <w:rPr>
          <w:rFonts w:hint="eastAsia" w:ascii="仿宋" w:hAnsi="仿宋" w:eastAsia="仿宋" w:cs="仿宋"/>
          <w:color w:val="auto"/>
          <w:highlight w:val="none"/>
        </w:rPr>
        <w:t xml:space="preserve">6.1 </w:t>
      </w:r>
      <w:bookmarkEnd w:id="176"/>
      <w:r>
        <w:rPr>
          <w:rFonts w:hint="eastAsia" w:ascii="仿宋" w:hAnsi="仿宋" w:eastAsia="仿宋" w:cs="仿宋"/>
          <w:color w:val="auto"/>
          <w:highlight w:val="none"/>
        </w:rPr>
        <w:t>评审小组</w:t>
      </w:r>
      <w:bookmarkEnd w:id="177"/>
    </w:p>
    <w:p w14:paraId="62050CA7">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6.1.1 评审由采购人组建的评审小组负责。</w:t>
      </w:r>
    </w:p>
    <w:p w14:paraId="645F3C63">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6.1.2 评审小组成员有下列情形之一的，应当回避：</w:t>
      </w:r>
    </w:p>
    <w:p w14:paraId="78EB9E59">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（1）供应商主要负责人或供应商主要负责人的近亲属；</w:t>
      </w:r>
    </w:p>
    <w:p w14:paraId="6743CC2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（2）与供应商有经济利益关系或其他利害关系，可能影响公正评审的。</w:t>
      </w:r>
    </w:p>
    <w:p w14:paraId="5A2F9564">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6.1.3 评审小组组建后，评审小组成员共同推选或由采购人指定评审小组组长，评审小组组长负责组织评审工作。</w:t>
      </w:r>
    </w:p>
    <w:p w14:paraId="313941F5">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6.1.4 在评审过程中，评审小组成员对需要共同认定的事项存在争议的，将按照少数服从多数的原则作出结论。持不同意见的评审小组成员应当在评审报告上签署不同意见及理由，否则视为同意评审报告。</w:t>
      </w:r>
    </w:p>
    <w:p w14:paraId="7936D488">
      <w:pPr>
        <w:pStyle w:val="6"/>
        <w:spacing w:line="240" w:lineRule="auto"/>
        <w:ind w:firstLine="137"/>
        <w:rPr>
          <w:rFonts w:hint="eastAsia" w:ascii="仿宋" w:hAnsi="仿宋" w:eastAsia="仿宋" w:cs="仿宋"/>
          <w:color w:val="auto"/>
          <w:highlight w:val="none"/>
        </w:rPr>
      </w:pPr>
      <w:bookmarkStart w:id="178" w:name="_Toc19029"/>
      <w:bookmarkStart w:id="179" w:name="_Toc501460687"/>
      <w:r>
        <w:rPr>
          <w:rFonts w:hint="eastAsia" w:ascii="仿宋" w:hAnsi="仿宋" w:eastAsia="仿宋" w:cs="仿宋"/>
          <w:color w:val="auto"/>
          <w:highlight w:val="none"/>
        </w:rPr>
        <w:t>6.2评审</w:t>
      </w:r>
      <w:bookmarkEnd w:id="178"/>
      <w:bookmarkEnd w:id="179"/>
    </w:p>
    <w:p w14:paraId="1D0815D3">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6.2.1 评审小组按照第三章“评审办法”规定的评审标准和程序对响应文件进行评审和比较。</w:t>
      </w:r>
    </w:p>
    <w:p w14:paraId="243B8DE2">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6.2.2 评审完成后，评审小组应当向采购人提交书面评审报告和候选成交供应商名单。评审小组推荐候选成交供应商的排序要求及数量见供应商须知前附表。</w:t>
      </w:r>
    </w:p>
    <w:p w14:paraId="00B4C859">
      <w:pPr>
        <w:pStyle w:val="5"/>
        <w:rPr>
          <w:rFonts w:hint="eastAsia" w:ascii="仿宋" w:hAnsi="仿宋" w:eastAsia="仿宋" w:cs="仿宋"/>
          <w:color w:val="auto"/>
          <w:highlight w:val="none"/>
        </w:rPr>
      </w:pPr>
      <w:bookmarkStart w:id="180" w:name="_Toc501460689"/>
      <w:bookmarkStart w:id="181" w:name="_Toc9916"/>
      <w:r>
        <w:rPr>
          <w:rFonts w:hint="eastAsia" w:ascii="仿宋" w:hAnsi="仿宋" w:eastAsia="仿宋" w:cs="仿宋"/>
          <w:color w:val="auto"/>
          <w:highlight w:val="none"/>
        </w:rPr>
        <w:t>7. 合同授予</w:t>
      </w:r>
      <w:bookmarkEnd w:id="180"/>
      <w:bookmarkEnd w:id="181"/>
    </w:p>
    <w:p w14:paraId="65105979">
      <w:pPr>
        <w:pStyle w:val="6"/>
        <w:spacing w:line="240" w:lineRule="auto"/>
        <w:ind w:firstLine="137"/>
        <w:rPr>
          <w:rFonts w:hint="eastAsia" w:ascii="仿宋" w:hAnsi="仿宋" w:eastAsia="仿宋" w:cs="仿宋"/>
          <w:color w:val="auto"/>
          <w:highlight w:val="none"/>
        </w:rPr>
      </w:pPr>
      <w:bookmarkStart w:id="182" w:name="_Toc501460692"/>
      <w:bookmarkStart w:id="183" w:name="_Toc5671"/>
      <w:bookmarkStart w:id="184" w:name="_Toc501460690"/>
      <w:r>
        <w:rPr>
          <w:rFonts w:hint="eastAsia" w:ascii="仿宋" w:hAnsi="仿宋" w:eastAsia="仿宋" w:cs="仿宋"/>
          <w:color w:val="auto"/>
          <w:highlight w:val="none"/>
        </w:rPr>
        <w:t>7.1 候选成交供应商履约能力</w:t>
      </w:r>
      <w:bookmarkEnd w:id="182"/>
      <w:r>
        <w:rPr>
          <w:rFonts w:hint="eastAsia" w:ascii="仿宋" w:hAnsi="仿宋" w:eastAsia="仿宋" w:cs="仿宋"/>
          <w:color w:val="auto"/>
          <w:highlight w:val="none"/>
        </w:rPr>
        <w:t>核查</w:t>
      </w:r>
      <w:bookmarkEnd w:id="183"/>
    </w:p>
    <w:p w14:paraId="12177214">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可对候选成交供应商的相关证明材料原件进行核验或组织现场考察，以确认候选成交供应商的生产经营、财务等实际状况与响应文件是否一致及是否存在其他可能影响供应商履约能力的情况。核查结果将作为采购人选择确定预成交供应商的依据之一。</w:t>
      </w:r>
    </w:p>
    <w:p w14:paraId="0E6BDA72">
      <w:pPr>
        <w:pStyle w:val="6"/>
        <w:spacing w:line="240" w:lineRule="auto"/>
        <w:ind w:firstLine="137"/>
        <w:rPr>
          <w:rFonts w:hint="eastAsia" w:ascii="仿宋" w:hAnsi="仿宋" w:eastAsia="仿宋" w:cs="仿宋"/>
          <w:color w:val="auto"/>
          <w:highlight w:val="none"/>
        </w:rPr>
      </w:pPr>
      <w:bookmarkStart w:id="185" w:name="_Toc12854"/>
      <w:r>
        <w:rPr>
          <w:rFonts w:hint="eastAsia" w:ascii="仿宋" w:hAnsi="仿宋" w:eastAsia="仿宋" w:cs="仿宋"/>
          <w:color w:val="auto"/>
          <w:highlight w:val="none"/>
        </w:rPr>
        <w:t>7.2</w:t>
      </w:r>
      <w:bookmarkEnd w:id="185"/>
      <w:bookmarkStart w:id="186" w:name="_Toc30347"/>
      <w:r>
        <w:rPr>
          <w:rFonts w:hint="eastAsia" w:ascii="仿宋" w:hAnsi="仿宋" w:eastAsia="仿宋" w:cs="仿宋"/>
          <w:color w:val="auto"/>
          <w:highlight w:val="none"/>
          <w:lang w:val="en-US" w:eastAsia="zh-CN"/>
        </w:rPr>
        <w:t>成交候选人</w:t>
      </w:r>
      <w:r>
        <w:rPr>
          <w:rFonts w:hint="eastAsia" w:ascii="仿宋" w:hAnsi="仿宋" w:eastAsia="仿宋" w:cs="仿宋"/>
          <w:color w:val="auto"/>
          <w:highlight w:val="none"/>
        </w:rPr>
        <w:t>公示</w:t>
      </w:r>
      <w:bookmarkEnd w:id="184"/>
      <w:bookmarkEnd w:id="186"/>
    </w:p>
    <w:p w14:paraId="7F0D2CAE">
      <w:pPr>
        <w:spacing w:line="400" w:lineRule="exact"/>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iCs/>
          <w:color w:val="auto"/>
          <w:sz w:val="24"/>
          <w:szCs w:val="24"/>
          <w:highlight w:val="none"/>
        </w:rPr>
        <w:t>采购人将按照供应商须知前附表规定的</w:t>
      </w:r>
      <w:r>
        <w:rPr>
          <w:rFonts w:hint="eastAsia" w:ascii="仿宋" w:hAnsi="仿宋" w:eastAsia="仿宋" w:cs="仿宋"/>
          <w:color w:val="auto"/>
          <w:sz w:val="24"/>
          <w:szCs w:val="24"/>
          <w:highlight w:val="none"/>
        </w:rPr>
        <w:t>公示媒介和公示期限</w:t>
      </w:r>
      <w:r>
        <w:rPr>
          <w:rFonts w:hint="eastAsia" w:ascii="仿宋" w:hAnsi="仿宋" w:eastAsia="仿宋" w:cs="仿宋"/>
          <w:iCs/>
          <w:color w:val="auto"/>
          <w:sz w:val="24"/>
          <w:szCs w:val="24"/>
          <w:highlight w:val="none"/>
        </w:rPr>
        <w:t>进行公示</w:t>
      </w:r>
      <w:r>
        <w:rPr>
          <w:rFonts w:hint="eastAsia" w:ascii="仿宋" w:hAnsi="仿宋" w:eastAsia="仿宋" w:cs="仿宋"/>
          <w:iCs/>
          <w:color w:val="auto"/>
          <w:sz w:val="24"/>
          <w:szCs w:val="24"/>
          <w:highlight w:val="none"/>
          <w:lang w:eastAsia="zh-CN"/>
        </w:rPr>
        <w:t>。</w:t>
      </w:r>
    </w:p>
    <w:p w14:paraId="61A08CA2">
      <w:pPr>
        <w:pStyle w:val="6"/>
        <w:spacing w:line="240" w:lineRule="auto"/>
        <w:ind w:firstLine="137"/>
        <w:rPr>
          <w:rFonts w:hint="eastAsia" w:ascii="仿宋" w:hAnsi="仿宋" w:eastAsia="仿宋" w:cs="仿宋"/>
          <w:color w:val="auto"/>
          <w:highlight w:val="none"/>
        </w:rPr>
      </w:pPr>
      <w:bookmarkStart w:id="187" w:name="_Toc501460694"/>
      <w:bookmarkStart w:id="188" w:name="_Toc6578"/>
      <w:r>
        <w:rPr>
          <w:rFonts w:hint="eastAsia" w:ascii="仿宋" w:hAnsi="仿宋" w:eastAsia="仿宋" w:cs="仿宋"/>
          <w:color w:val="auto"/>
          <w:highlight w:val="none"/>
        </w:rPr>
        <w:t>7.</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 xml:space="preserve"> 发出成交通知</w:t>
      </w:r>
      <w:bookmarkEnd w:id="187"/>
      <w:r>
        <w:rPr>
          <w:rFonts w:hint="eastAsia" w:ascii="仿宋" w:hAnsi="仿宋" w:eastAsia="仿宋" w:cs="仿宋"/>
          <w:color w:val="auto"/>
          <w:highlight w:val="none"/>
        </w:rPr>
        <w:t>书</w:t>
      </w:r>
      <w:bookmarkEnd w:id="188"/>
    </w:p>
    <w:p w14:paraId="0E1F67E6">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公示期结束后，在本章第3.3款规定的响应文件有效期内，采购人以书面形式向预成交供应商发出</w:t>
      </w:r>
      <w:bookmarkStart w:id="189" w:name="_Toc5668"/>
      <w:bookmarkStart w:id="190" w:name="_Toc352691506"/>
      <w:bookmarkStart w:id="191" w:name="_Toc384308244"/>
      <w:bookmarkStart w:id="192" w:name="_Toc300834983"/>
      <w:bookmarkStart w:id="193" w:name="_Toc361508619"/>
      <w:bookmarkStart w:id="194" w:name="_Toc369531550"/>
      <w:r>
        <w:rPr>
          <w:rFonts w:hint="eastAsia" w:ascii="仿宋" w:hAnsi="仿宋" w:eastAsia="仿宋" w:cs="仿宋"/>
          <w:color w:val="auto"/>
          <w:sz w:val="24"/>
          <w:szCs w:val="24"/>
          <w:highlight w:val="none"/>
        </w:rPr>
        <w:t>成交通知书</w:t>
      </w:r>
      <w:bookmarkEnd w:id="189"/>
      <w:bookmarkEnd w:id="190"/>
      <w:bookmarkEnd w:id="191"/>
      <w:bookmarkEnd w:id="192"/>
      <w:bookmarkEnd w:id="193"/>
      <w:bookmarkEnd w:id="194"/>
      <w:r>
        <w:rPr>
          <w:rFonts w:hint="eastAsia" w:ascii="仿宋" w:hAnsi="仿宋" w:eastAsia="仿宋" w:cs="仿宋"/>
          <w:color w:val="auto"/>
          <w:sz w:val="24"/>
          <w:szCs w:val="24"/>
          <w:highlight w:val="none"/>
        </w:rPr>
        <w:t>。</w:t>
      </w:r>
    </w:p>
    <w:p w14:paraId="1B77B532">
      <w:pPr>
        <w:pStyle w:val="6"/>
        <w:spacing w:line="240" w:lineRule="auto"/>
        <w:ind w:firstLine="137"/>
        <w:rPr>
          <w:rFonts w:hint="eastAsia" w:ascii="仿宋" w:hAnsi="仿宋" w:eastAsia="仿宋" w:cs="仿宋"/>
          <w:color w:val="auto"/>
          <w:highlight w:val="none"/>
        </w:rPr>
      </w:pPr>
      <w:bookmarkStart w:id="195" w:name="_Toc29365"/>
      <w:r>
        <w:rPr>
          <w:rFonts w:hint="eastAsia" w:ascii="仿宋" w:hAnsi="仿宋" w:eastAsia="仿宋" w:cs="仿宋"/>
          <w:color w:val="auto"/>
          <w:highlight w:val="none"/>
        </w:rPr>
        <w:t>7.</w:t>
      </w: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rPr>
        <w:t>发布成交公告</w:t>
      </w:r>
      <w:bookmarkEnd w:id="195"/>
    </w:p>
    <w:p w14:paraId="697D8C21">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在发出成交通知书的同时，采购人将在供应商须知前附表规定的公告媒介发布成交公告，公告信息包括成交供应商名称、响应价格及交货期、成交份额（如有）及供应商须知前附表规定的其他内容。</w:t>
      </w:r>
    </w:p>
    <w:p w14:paraId="19870492">
      <w:pPr>
        <w:pStyle w:val="6"/>
        <w:spacing w:line="240" w:lineRule="auto"/>
        <w:ind w:firstLine="137"/>
        <w:rPr>
          <w:rFonts w:hint="eastAsia" w:ascii="仿宋" w:hAnsi="仿宋" w:eastAsia="仿宋" w:cs="仿宋"/>
          <w:color w:val="auto"/>
          <w:highlight w:val="none"/>
        </w:rPr>
      </w:pPr>
      <w:bookmarkStart w:id="196" w:name="_Toc10102"/>
      <w:bookmarkStart w:id="197" w:name="_Toc501460695"/>
      <w:r>
        <w:rPr>
          <w:rFonts w:hint="eastAsia" w:ascii="仿宋" w:hAnsi="仿宋" w:eastAsia="仿宋" w:cs="仿宋"/>
          <w:color w:val="auto"/>
          <w:highlight w:val="none"/>
        </w:rPr>
        <w:t>7.</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 xml:space="preserve"> 履约保证金</w:t>
      </w:r>
      <w:bookmarkEnd w:id="196"/>
      <w:bookmarkEnd w:id="197"/>
    </w:p>
    <w:p w14:paraId="5D5EE3E9">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无</w:t>
      </w:r>
      <w:r>
        <w:rPr>
          <w:rFonts w:hint="eastAsia" w:ascii="仿宋" w:hAnsi="仿宋" w:eastAsia="仿宋" w:cs="仿宋"/>
          <w:color w:val="auto"/>
          <w:sz w:val="24"/>
          <w:szCs w:val="24"/>
          <w:highlight w:val="none"/>
        </w:rPr>
        <w:t>。</w:t>
      </w:r>
    </w:p>
    <w:p w14:paraId="60FD138A">
      <w:pPr>
        <w:pStyle w:val="6"/>
        <w:spacing w:line="240" w:lineRule="auto"/>
        <w:ind w:firstLine="137"/>
        <w:rPr>
          <w:rFonts w:hint="eastAsia" w:ascii="仿宋" w:hAnsi="仿宋" w:eastAsia="仿宋" w:cs="仿宋"/>
          <w:color w:val="auto"/>
          <w:highlight w:val="none"/>
        </w:rPr>
      </w:pPr>
      <w:bookmarkStart w:id="198" w:name="_Toc29771"/>
      <w:bookmarkStart w:id="199" w:name="_Toc501460696"/>
      <w:r>
        <w:rPr>
          <w:rFonts w:hint="eastAsia" w:ascii="仿宋" w:hAnsi="仿宋" w:eastAsia="仿宋" w:cs="仿宋"/>
          <w:color w:val="auto"/>
          <w:highlight w:val="none"/>
        </w:rPr>
        <w:t>7.</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 xml:space="preserve"> 签订合同</w:t>
      </w:r>
      <w:bookmarkEnd w:id="198"/>
      <w:bookmarkEnd w:id="199"/>
    </w:p>
    <w:p w14:paraId="6FDCA7AF">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.1 采购人和成交供应商应当在成交通知书规定的期限内，根据采购文件和成交供应商的响应文件订立书面合同。成交供应商无正当理由拒绝签订合同，在签订合同时向采购人提出附加条件，或者不按照采购文件要求递交履约保证金的，采购人取消其成交资格，其响应保证金不予退还；给采购人造成的损失超过响应保证金数额的，成交供应商还应当对超过部分予以赔偿。</w:t>
      </w:r>
    </w:p>
    <w:p w14:paraId="1DB604A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.2 发出成交通知书后，采购人无正当理由拒绝签订合同，或者在签订合同时向成交供应商提出附加条件的，采购人向成交供应商退还响应保证金；给成交供应商造成损失的，还应当赔偿损失。</w:t>
      </w:r>
    </w:p>
    <w:p w14:paraId="5C84416C">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.3 联合体成交的，联合体各方应当共同与采购人签订合同，就成交项目向采购人承担连带责任。</w:t>
      </w:r>
    </w:p>
    <w:p w14:paraId="413290A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.4 除供应商须知前附表另有规定外，按照第三章“评审办法”第2.2.3项规定对响应报价进行修正后，若修正后的响应报价小于按照第三章“评审办法”第2.2.2项规定确定的评审价格，则签订合同时以修正后的响应报价为准；若修正后的响应报价大于评审价格，则签订合同时以评审价格为准，同时按比例修正相应子目的单价或合价（采购文件不允许调整的费率和金额除外）。</w:t>
      </w:r>
    </w:p>
    <w:p w14:paraId="7D509FFF">
      <w:pPr>
        <w:pStyle w:val="6"/>
        <w:spacing w:line="240" w:lineRule="auto"/>
        <w:ind w:firstLine="137"/>
        <w:rPr>
          <w:rFonts w:hint="eastAsia" w:ascii="仿宋" w:hAnsi="仿宋" w:eastAsia="仿宋" w:cs="仿宋"/>
          <w:b/>
          <w:color w:val="auto"/>
          <w:highlight w:val="none"/>
        </w:rPr>
      </w:pPr>
      <w:bookmarkStart w:id="200" w:name="_Toc3379"/>
      <w:r>
        <w:rPr>
          <w:rFonts w:hint="eastAsia" w:ascii="仿宋" w:hAnsi="仿宋" w:eastAsia="仿宋" w:cs="仿宋"/>
          <w:color w:val="auto"/>
          <w:highlight w:val="none"/>
        </w:rPr>
        <w:t>7.</w:t>
      </w:r>
      <w:r>
        <w:rPr>
          <w:rFonts w:hint="eastAsia" w:ascii="仿宋" w:hAnsi="仿宋" w:eastAsia="仿宋" w:cs="仿宋"/>
          <w:color w:val="auto"/>
          <w:highlight w:val="none"/>
          <w:lang w:val="en-US" w:eastAsia="zh-CN"/>
        </w:rPr>
        <w:t xml:space="preserve">7 </w:t>
      </w:r>
      <w:r>
        <w:rPr>
          <w:rFonts w:hint="eastAsia" w:ascii="仿宋" w:hAnsi="仿宋" w:eastAsia="仿宋" w:cs="仿宋"/>
          <w:color w:val="auto"/>
          <w:highlight w:val="none"/>
        </w:rPr>
        <w:t>特殊情形处理</w:t>
      </w:r>
      <w:bookmarkEnd w:id="200"/>
    </w:p>
    <w:p w14:paraId="2976BF97">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供应商对预成交结果提出异议、成交供应商无正当理由拒绝签订合同、成交供应商在签订合同时向采购人提出附加条件或者不按照采购文件要求递交履约保证金等导致采购人变更成交结果的，采购人应按照本条规定的程序重新选择确定预成交供应商、进行公示并公告。</w:t>
      </w:r>
    </w:p>
    <w:p w14:paraId="303BF132">
      <w:pPr>
        <w:pStyle w:val="5"/>
        <w:rPr>
          <w:rFonts w:hint="eastAsia" w:ascii="仿宋" w:hAnsi="仿宋" w:eastAsia="仿宋" w:cs="仿宋"/>
          <w:color w:val="auto"/>
          <w:highlight w:val="none"/>
        </w:rPr>
      </w:pPr>
      <w:bookmarkStart w:id="201" w:name="_Toc16950"/>
      <w:r>
        <w:rPr>
          <w:rFonts w:hint="eastAsia" w:ascii="仿宋" w:hAnsi="仿宋" w:eastAsia="仿宋" w:cs="仿宋"/>
          <w:color w:val="auto"/>
          <w:highlight w:val="none"/>
        </w:rPr>
        <w:t>8. 异议</w:t>
      </w:r>
      <w:bookmarkEnd w:id="201"/>
    </w:p>
    <w:p w14:paraId="55B2CA96">
      <w:pPr>
        <w:pStyle w:val="6"/>
        <w:spacing w:line="240" w:lineRule="auto"/>
        <w:ind w:firstLine="137"/>
        <w:rPr>
          <w:rFonts w:hint="eastAsia" w:ascii="仿宋" w:hAnsi="仿宋" w:eastAsia="仿宋" w:cs="仿宋"/>
          <w:color w:val="auto"/>
          <w:highlight w:val="none"/>
        </w:rPr>
      </w:pPr>
      <w:bookmarkStart w:id="202" w:name="_Toc27178"/>
      <w:r>
        <w:rPr>
          <w:rFonts w:hint="eastAsia" w:ascii="仿宋" w:hAnsi="仿宋" w:eastAsia="仿宋" w:cs="仿宋"/>
          <w:color w:val="auto"/>
          <w:highlight w:val="none"/>
        </w:rPr>
        <w:t>8.1 提出异议</w:t>
      </w:r>
      <w:bookmarkEnd w:id="202"/>
    </w:p>
    <w:p w14:paraId="45E47869">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供应商或者其他利害关系人可以对预成交结果提出异议。异议应在预成交结果公示期间通过供应商须知前附表规定的异议渠道提出，并递交异议函和必要的证明材料。异议函包括但不限于下列内容：</w:t>
      </w:r>
    </w:p>
    <w:p w14:paraId="13763BD2">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（1）异议人名称、地址、邮政编码、联系人及联系电话；</w:t>
      </w:r>
    </w:p>
    <w:p w14:paraId="4D31B8FA">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（2）具体、明确的异议事项、事实依据及与异议事项相关的请求。</w:t>
      </w:r>
    </w:p>
    <w:p w14:paraId="6085E2D2">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异议函应由异议人的法定代表人（单位负责人）或者其授权代表签字并加盖单位章。</w:t>
      </w:r>
    </w:p>
    <w:p w14:paraId="7D1B0E70">
      <w:pPr>
        <w:pStyle w:val="6"/>
        <w:spacing w:line="240" w:lineRule="auto"/>
        <w:ind w:firstLine="137"/>
        <w:rPr>
          <w:rFonts w:hint="eastAsia" w:ascii="仿宋" w:hAnsi="仿宋" w:eastAsia="仿宋" w:cs="仿宋"/>
          <w:color w:val="auto"/>
          <w:highlight w:val="none"/>
        </w:rPr>
      </w:pPr>
      <w:bookmarkStart w:id="203" w:name="_Toc2761"/>
      <w:r>
        <w:rPr>
          <w:rFonts w:hint="eastAsia" w:ascii="仿宋" w:hAnsi="仿宋" w:eastAsia="仿宋" w:cs="仿宋"/>
          <w:color w:val="auto"/>
          <w:highlight w:val="none"/>
        </w:rPr>
        <w:t>8.2 异议处理</w:t>
      </w:r>
      <w:bookmarkEnd w:id="203"/>
    </w:p>
    <w:p w14:paraId="2BB31642">
      <w:pPr>
        <w:spacing w:line="400" w:lineRule="exact"/>
        <w:ind w:firstLine="480" w:firstLineChars="200"/>
        <w:rPr>
          <w:rFonts w:hint="eastAsia" w:ascii="仿宋" w:hAnsi="仿宋" w:eastAsia="仿宋" w:cs="仿宋"/>
          <w:color w:val="auto"/>
          <w:sz w:val="24"/>
          <w:szCs w:val="24"/>
          <w:highlight w:val="none"/>
        </w:rPr>
      </w:pPr>
      <w:bookmarkStart w:id="204" w:name="_Toc361508627"/>
      <w:bookmarkStart w:id="205" w:name="_Toc24067"/>
      <w:bookmarkStart w:id="206" w:name="_Toc384308252"/>
      <w:bookmarkStart w:id="207" w:name="_Toc501460697"/>
      <w:bookmarkStart w:id="208" w:name="_Toc247527593"/>
      <w:bookmarkStart w:id="209" w:name="_Toc300834991"/>
      <w:bookmarkStart w:id="210" w:name="_Toc152045568"/>
      <w:bookmarkStart w:id="211" w:name="_Toc144974536"/>
      <w:bookmarkStart w:id="212" w:name="_Toc152042344"/>
      <w:bookmarkStart w:id="213" w:name="_Toc247513992"/>
      <w:r>
        <w:rPr>
          <w:rFonts w:hint="eastAsia" w:ascii="仿宋" w:hAnsi="仿宋" w:eastAsia="仿宋" w:cs="仿宋"/>
          <w:color w:val="auto"/>
          <w:sz w:val="24"/>
          <w:szCs w:val="24"/>
          <w:highlight w:val="none"/>
        </w:rPr>
        <w:t>采购人将针对异议提出的问题进行核查，经过核查，发现异议提出人对相关问题理解有误的，应作出解释；发现采购活动中确实存在错误或不当行为的，应及时予以改正或补救。</w:t>
      </w:r>
    </w:p>
    <w:p w14:paraId="30A31BC9">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异议人与采购人对异议事项无法达成一致的，异议人可向供应商须知前附表规定的行业组织或专业咨询机构申请调解或进行反映。</w:t>
      </w:r>
    </w:p>
    <w:p w14:paraId="5BF06D6B">
      <w:pPr>
        <w:spacing w:line="400" w:lineRule="exact"/>
        <w:ind w:firstLine="480" w:firstLineChars="200"/>
        <w:rPr>
          <w:rFonts w:hint="eastAsia" w:ascii="仿宋" w:hAnsi="仿宋" w:eastAsia="仿宋" w:cs="仿宋"/>
          <w:color w:val="auto"/>
          <w:highlight w:val="none"/>
        </w:rPr>
      </w:pPr>
      <w:r>
        <w:rPr>
          <w:rFonts w:hint="eastAsia" w:ascii="仿宋" w:hAnsi="仿宋" w:eastAsia="仿宋" w:cs="仿宋"/>
          <w:color w:val="auto"/>
          <w:sz w:val="24"/>
          <w:szCs w:val="24"/>
          <w:highlight w:val="none"/>
        </w:rPr>
        <w:t>采购人认为异议不成立或不影响采购结果的，可以继续进行采购活动。</w:t>
      </w:r>
    </w:p>
    <w:p w14:paraId="312D261A">
      <w:pPr>
        <w:pStyle w:val="5"/>
        <w:rPr>
          <w:rFonts w:hint="eastAsia" w:ascii="仿宋" w:hAnsi="仿宋" w:eastAsia="仿宋" w:cs="仿宋"/>
          <w:color w:val="auto"/>
          <w:highlight w:val="none"/>
        </w:rPr>
      </w:pPr>
      <w:bookmarkStart w:id="214" w:name="_Toc22316"/>
      <w:r>
        <w:rPr>
          <w:rFonts w:hint="eastAsia" w:ascii="仿宋" w:hAnsi="仿宋" w:eastAsia="仿宋" w:cs="仿宋"/>
          <w:color w:val="auto"/>
          <w:highlight w:val="none"/>
        </w:rPr>
        <w:t>9.</w:t>
      </w:r>
      <w:bookmarkEnd w:id="204"/>
      <w:bookmarkEnd w:id="205"/>
      <w:bookmarkEnd w:id="206"/>
      <w:r>
        <w:rPr>
          <w:rFonts w:hint="eastAsia" w:ascii="仿宋" w:hAnsi="仿宋" w:eastAsia="仿宋" w:cs="仿宋"/>
          <w:color w:val="auto"/>
          <w:highlight w:val="none"/>
        </w:rPr>
        <w:t xml:space="preserve"> 纪律</w:t>
      </w:r>
      <w:bookmarkEnd w:id="207"/>
      <w:r>
        <w:rPr>
          <w:rFonts w:hint="eastAsia" w:ascii="仿宋" w:hAnsi="仿宋" w:eastAsia="仿宋" w:cs="仿宋"/>
          <w:color w:val="auto"/>
          <w:highlight w:val="none"/>
        </w:rPr>
        <w:t>要求</w:t>
      </w:r>
      <w:bookmarkEnd w:id="214"/>
    </w:p>
    <w:p w14:paraId="62245360">
      <w:pPr>
        <w:pStyle w:val="6"/>
        <w:spacing w:line="240" w:lineRule="auto"/>
        <w:ind w:firstLine="137"/>
        <w:rPr>
          <w:rFonts w:hint="eastAsia" w:ascii="仿宋" w:hAnsi="仿宋" w:eastAsia="仿宋" w:cs="仿宋"/>
          <w:color w:val="auto"/>
          <w:highlight w:val="none"/>
        </w:rPr>
      </w:pPr>
      <w:bookmarkStart w:id="215" w:name="_Toc16429"/>
      <w:bookmarkStart w:id="216" w:name="_Toc501460698"/>
      <w:r>
        <w:rPr>
          <w:rFonts w:hint="eastAsia" w:ascii="仿宋" w:hAnsi="仿宋" w:eastAsia="仿宋" w:cs="仿宋"/>
          <w:color w:val="auto"/>
          <w:highlight w:val="none"/>
        </w:rPr>
        <w:t>9.1 对采购人的纪律要求</w:t>
      </w:r>
      <w:bookmarkEnd w:id="215"/>
      <w:bookmarkEnd w:id="216"/>
    </w:p>
    <w:p w14:paraId="77C1B573">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采购人不得泄露询比采购活动中应当保密的情况和资料，不得与供应商串通损害国家利益、社会公共利益或者他人合法权益。</w:t>
      </w:r>
    </w:p>
    <w:p w14:paraId="76785430">
      <w:pPr>
        <w:pStyle w:val="6"/>
        <w:spacing w:line="240" w:lineRule="auto"/>
        <w:ind w:firstLine="137"/>
        <w:rPr>
          <w:rFonts w:hint="eastAsia" w:ascii="仿宋" w:hAnsi="仿宋" w:eastAsia="仿宋" w:cs="仿宋"/>
          <w:color w:val="auto"/>
          <w:highlight w:val="none"/>
        </w:rPr>
      </w:pPr>
      <w:bookmarkStart w:id="217" w:name="_Toc20440"/>
      <w:bookmarkStart w:id="218" w:name="_Toc501460699"/>
      <w:r>
        <w:rPr>
          <w:rFonts w:hint="eastAsia" w:ascii="仿宋" w:hAnsi="仿宋" w:eastAsia="仿宋" w:cs="仿宋"/>
          <w:color w:val="auto"/>
          <w:highlight w:val="none"/>
        </w:rPr>
        <w:t>9.2 对供应商的纪律要求</w:t>
      </w:r>
      <w:bookmarkEnd w:id="217"/>
      <w:bookmarkEnd w:id="218"/>
    </w:p>
    <w:p w14:paraId="15F2018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供应商不得相互串通或者与采购人串通，不得向采购人或者评审小组成员行贿谋取成交，不得以他人名义参加询比采购活动或者以其他方式弄虚作假骗取成交；供应商不得以任何方式干扰、影响评审工作。</w:t>
      </w:r>
    </w:p>
    <w:p w14:paraId="22A3F5A8">
      <w:pPr>
        <w:pStyle w:val="6"/>
        <w:spacing w:line="240" w:lineRule="auto"/>
        <w:ind w:firstLine="137"/>
        <w:rPr>
          <w:rFonts w:hint="eastAsia" w:ascii="仿宋" w:hAnsi="仿宋" w:eastAsia="仿宋" w:cs="仿宋"/>
          <w:color w:val="auto"/>
          <w:highlight w:val="none"/>
        </w:rPr>
      </w:pPr>
      <w:bookmarkStart w:id="219" w:name="_Toc501460700"/>
      <w:bookmarkStart w:id="220" w:name="_Toc24895"/>
      <w:r>
        <w:rPr>
          <w:rFonts w:hint="eastAsia" w:ascii="仿宋" w:hAnsi="仿宋" w:eastAsia="仿宋" w:cs="仿宋"/>
          <w:color w:val="auto"/>
          <w:highlight w:val="none"/>
        </w:rPr>
        <w:t>9.3 对评审小组成员的纪律要求</w:t>
      </w:r>
      <w:bookmarkEnd w:id="219"/>
      <w:bookmarkEnd w:id="220"/>
    </w:p>
    <w:p w14:paraId="19D8D8C0">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评审小组成员不得收受他人的财物或者其他好处，不得向他人透露对响应文件的评审</w:t>
      </w:r>
      <w:bookmarkStart w:id="221" w:name="_Toc384308253"/>
      <w:bookmarkStart w:id="222" w:name="_Toc352691515"/>
      <w:bookmarkStart w:id="223" w:name="_Toc13644"/>
      <w:bookmarkStart w:id="224" w:name="_Toc361508628"/>
      <w:bookmarkStart w:id="225" w:name="_Toc369531559"/>
      <w:r>
        <w:rPr>
          <w:rFonts w:hint="eastAsia" w:ascii="仿宋" w:hAnsi="仿宋" w:eastAsia="仿宋" w:cs="仿宋"/>
          <w:color w:val="auto"/>
          <w:sz w:val="24"/>
          <w:szCs w:val="24"/>
          <w:highlight w:val="none"/>
        </w:rPr>
        <w:t>和比较、</w:t>
      </w:r>
      <w:bookmarkEnd w:id="208"/>
      <w:bookmarkEnd w:id="209"/>
      <w:bookmarkEnd w:id="210"/>
      <w:bookmarkEnd w:id="211"/>
      <w:bookmarkEnd w:id="212"/>
      <w:bookmarkEnd w:id="213"/>
      <w:bookmarkEnd w:id="221"/>
      <w:bookmarkEnd w:id="222"/>
      <w:bookmarkEnd w:id="223"/>
      <w:bookmarkEnd w:id="224"/>
      <w:bookmarkEnd w:id="225"/>
      <w:r>
        <w:rPr>
          <w:rFonts w:hint="eastAsia" w:ascii="仿宋" w:hAnsi="仿宋" w:eastAsia="仿宋" w:cs="仿宋"/>
          <w:color w:val="auto"/>
          <w:sz w:val="24"/>
          <w:szCs w:val="24"/>
          <w:highlight w:val="none"/>
        </w:rPr>
        <w:t>候选成交供应商的推荐情况以及评审有关的其他情况。在评审活动中，评审小组成员应当客观、公正地履行职责，遵守职业道德，不得擅离职守、影响评审工作正常进行，不得使用第三章“评审办法”没有规定的评审因素和标准进行评审。</w:t>
      </w:r>
    </w:p>
    <w:p w14:paraId="2BAEF9E2">
      <w:pPr>
        <w:pStyle w:val="6"/>
        <w:spacing w:line="240" w:lineRule="auto"/>
        <w:ind w:firstLine="137"/>
        <w:rPr>
          <w:rFonts w:hint="eastAsia" w:ascii="仿宋" w:hAnsi="仿宋" w:eastAsia="仿宋" w:cs="仿宋"/>
          <w:color w:val="auto"/>
          <w:highlight w:val="none"/>
        </w:rPr>
      </w:pPr>
      <w:bookmarkStart w:id="226" w:name="_Toc19076"/>
      <w:bookmarkStart w:id="227" w:name="_Toc501460701"/>
      <w:r>
        <w:rPr>
          <w:rFonts w:hint="eastAsia" w:ascii="仿宋" w:hAnsi="仿宋" w:eastAsia="仿宋" w:cs="仿宋"/>
          <w:color w:val="auto"/>
          <w:highlight w:val="none"/>
        </w:rPr>
        <w:t>9.4 对与询比活动有关的工作人员的纪律要求</w:t>
      </w:r>
      <w:bookmarkEnd w:id="226"/>
      <w:bookmarkEnd w:id="227"/>
    </w:p>
    <w:p w14:paraId="56B639B4">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与询比活动有关的工作人员不得收受他人的财物或者其他好处，不得向他人透露对</w:t>
      </w:r>
      <w:bookmarkStart w:id="228" w:name="_Toc361508629"/>
      <w:bookmarkStart w:id="229" w:name="_Toc152042345"/>
      <w:bookmarkStart w:id="230" w:name="_Toc247513993"/>
      <w:bookmarkStart w:id="231" w:name="_Toc152045569"/>
      <w:bookmarkStart w:id="232" w:name="_Toc369531560"/>
      <w:bookmarkStart w:id="233" w:name="_Toc384308254"/>
      <w:bookmarkStart w:id="234" w:name="_Toc144974537"/>
      <w:bookmarkStart w:id="235" w:name="_Toc19429"/>
      <w:bookmarkStart w:id="236" w:name="_Toc247527594"/>
      <w:bookmarkStart w:id="237" w:name="_Toc352691516"/>
      <w:bookmarkStart w:id="238" w:name="_Toc300834992"/>
      <w:r>
        <w:rPr>
          <w:rFonts w:hint="eastAsia" w:ascii="仿宋" w:hAnsi="仿宋" w:eastAsia="仿宋" w:cs="仿宋"/>
          <w:color w:val="auto"/>
          <w:sz w:val="24"/>
          <w:szCs w:val="24"/>
          <w:highlight w:val="none"/>
        </w:rPr>
        <w:t>响应文件的评审和比较、</w:t>
      </w:r>
      <w:bookmarkEnd w:id="228"/>
      <w:bookmarkEnd w:id="229"/>
      <w:bookmarkEnd w:id="230"/>
      <w:bookmarkEnd w:id="231"/>
      <w:bookmarkEnd w:id="232"/>
      <w:bookmarkEnd w:id="233"/>
      <w:bookmarkEnd w:id="234"/>
      <w:bookmarkEnd w:id="235"/>
      <w:bookmarkEnd w:id="236"/>
      <w:bookmarkEnd w:id="237"/>
      <w:bookmarkEnd w:id="238"/>
      <w:r>
        <w:rPr>
          <w:rFonts w:hint="eastAsia" w:ascii="仿宋" w:hAnsi="仿宋" w:eastAsia="仿宋" w:cs="仿宋"/>
          <w:color w:val="auto"/>
          <w:sz w:val="24"/>
          <w:szCs w:val="24"/>
          <w:highlight w:val="none"/>
        </w:rPr>
        <w:t>候选成交供应商的推荐情况以及询比有关的其他情况。在询比活动中，与询比活动有关的工作人员不得擅离职守，影响评审工作正常进行。</w:t>
      </w:r>
    </w:p>
    <w:p w14:paraId="53CF3972">
      <w:pPr>
        <w:pStyle w:val="5"/>
        <w:spacing w:line="240" w:lineRule="auto"/>
        <w:rPr>
          <w:rFonts w:hint="eastAsia" w:ascii="仿宋" w:hAnsi="仿宋" w:eastAsia="仿宋" w:cs="仿宋"/>
          <w:color w:val="auto"/>
          <w:highlight w:val="none"/>
        </w:rPr>
      </w:pPr>
      <w:bookmarkStart w:id="239" w:name="_Toc501460704"/>
      <w:bookmarkStart w:id="240" w:name="_Toc23098"/>
      <w:r>
        <w:rPr>
          <w:rFonts w:hint="eastAsia" w:ascii="仿宋" w:hAnsi="仿宋" w:eastAsia="仿宋" w:cs="仿宋"/>
          <w:color w:val="auto"/>
          <w:highlight w:val="none"/>
        </w:rPr>
        <w:t xml:space="preserve">10. </w:t>
      </w:r>
      <w:bookmarkEnd w:id="239"/>
      <w:r>
        <w:rPr>
          <w:rFonts w:hint="eastAsia" w:ascii="仿宋" w:hAnsi="仿宋" w:eastAsia="仿宋" w:cs="仿宋"/>
          <w:color w:val="auto"/>
          <w:highlight w:val="none"/>
        </w:rPr>
        <w:t>需要补充的其他内容</w:t>
      </w:r>
      <w:bookmarkEnd w:id="240"/>
    </w:p>
    <w:p w14:paraId="1D3856C4">
      <w:pPr>
        <w:pStyle w:val="6"/>
        <w:spacing w:line="240" w:lineRule="auto"/>
        <w:ind w:firstLine="137"/>
        <w:rPr>
          <w:rFonts w:hint="eastAsia" w:ascii="仿宋" w:hAnsi="仿宋" w:eastAsia="仿宋" w:cs="仿宋"/>
          <w:color w:val="auto"/>
          <w:highlight w:val="none"/>
        </w:rPr>
      </w:pPr>
      <w:bookmarkStart w:id="241" w:name="_Toc7346"/>
      <w:r>
        <w:rPr>
          <w:rFonts w:hint="eastAsia" w:ascii="仿宋" w:hAnsi="仿宋" w:eastAsia="仿宋" w:cs="仿宋"/>
          <w:color w:val="auto"/>
          <w:highlight w:val="none"/>
        </w:rPr>
        <w:t>10.1</w:t>
      </w:r>
      <w:bookmarkEnd w:id="241"/>
      <w:bookmarkStart w:id="242" w:name="_Toc17388"/>
      <w:r>
        <w:rPr>
          <w:rFonts w:hint="eastAsia" w:ascii="仿宋" w:hAnsi="仿宋" w:eastAsia="仿宋" w:cs="仿宋"/>
          <w:color w:val="auto"/>
          <w:highlight w:val="none"/>
        </w:rPr>
        <w:t>其他</w:t>
      </w:r>
      <w:bookmarkEnd w:id="242"/>
    </w:p>
    <w:p w14:paraId="65983230">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需要补充的其他内容：见</w:t>
      </w:r>
      <w:r>
        <w:rPr>
          <w:rFonts w:hint="eastAsia" w:ascii="仿宋" w:hAnsi="仿宋" w:eastAsia="仿宋" w:cs="仿宋"/>
          <w:iCs/>
          <w:color w:val="auto"/>
          <w:sz w:val="24"/>
          <w:szCs w:val="24"/>
          <w:highlight w:val="none"/>
        </w:rPr>
        <w:t>供应商须知前附表</w:t>
      </w:r>
      <w:r>
        <w:rPr>
          <w:rFonts w:hint="eastAsia" w:ascii="仿宋" w:hAnsi="仿宋" w:eastAsia="仿宋" w:cs="仿宋"/>
          <w:color w:val="auto"/>
          <w:sz w:val="24"/>
          <w:szCs w:val="24"/>
          <w:highlight w:val="none"/>
        </w:rPr>
        <w:t>。</w:t>
      </w:r>
    </w:p>
    <w:p w14:paraId="60651FD7">
      <w:pPr>
        <w:widowControl/>
        <w:jc w:val="left"/>
        <w:rPr>
          <w:rFonts w:hint="eastAsia" w:ascii="仿宋" w:hAnsi="仿宋" w:eastAsia="仿宋" w:cs="仿宋"/>
          <w:color w:val="auto"/>
          <w:sz w:val="28"/>
          <w:szCs w:val="20"/>
          <w:highlight w:val="none"/>
        </w:rPr>
      </w:pPr>
      <w:bookmarkStart w:id="243" w:name="_Toc501460705"/>
      <w:r>
        <w:rPr>
          <w:rFonts w:hint="eastAsia" w:ascii="仿宋" w:hAnsi="仿宋" w:eastAsia="仿宋" w:cs="仿宋"/>
          <w:color w:val="auto"/>
          <w:highlight w:val="none"/>
        </w:rPr>
        <w:br w:type="page"/>
      </w:r>
    </w:p>
    <w:bookmarkEnd w:id="243"/>
    <w:p w14:paraId="256C6B73">
      <w:pPr>
        <w:widowControl/>
        <w:jc w:val="center"/>
        <w:rPr>
          <w:rFonts w:hint="eastAsia" w:ascii="仿宋" w:hAnsi="仿宋" w:eastAsia="仿宋" w:cs="仿宋"/>
          <w:color w:val="auto"/>
          <w:highlight w:val="none"/>
        </w:rPr>
      </w:pPr>
      <w:bookmarkStart w:id="244" w:name="_Toc501460733"/>
    </w:p>
    <w:p w14:paraId="6AB7E832">
      <w:pPr>
        <w:widowControl/>
        <w:jc w:val="center"/>
        <w:rPr>
          <w:rFonts w:hint="eastAsia" w:ascii="仿宋" w:hAnsi="仿宋" w:eastAsia="仿宋" w:cs="仿宋"/>
          <w:color w:val="auto"/>
          <w:highlight w:val="none"/>
        </w:rPr>
      </w:pPr>
    </w:p>
    <w:p w14:paraId="2898861F">
      <w:pPr>
        <w:widowControl/>
        <w:jc w:val="center"/>
        <w:rPr>
          <w:rFonts w:hint="eastAsia" w:ascii="仿宋" w:hAnsi="仿宋" w:eastAsia="仿宋" w:cs="仿宋"/>
          <w:color w:val="auto"/>
          <w:highlight w:val="none"/>
        </w:rPr>
      </w:pPr>
    </w:p>
    <w:p w14:paraId="13FC4F1C">
      <w:pPr>
        <w:widowControl/>
        <w:jc w:val="center"/>
        <w:rPr>
          <w:rFonts w:hint="eastAsia" w:ascii="仿宋" w:hAnsi="仿宋" w:eastAsia="仿宋" w:cs="仿宋"/>
          <w:color w:val="auto"/>
          <w:highlight w:val="none"/>
        </w:rPr>
      </w:pPr>
    </w:p>
    <w:p w14:paraId="2CA3D585">
      <w:pPr>
        <w:widowControl/>
        <w:jc w:val="center"/>
        <w:rPr>
          <w:rFonts w:hint="eastAsia" w:ascii="仿宋" w:hAnsi="仿宋" w:eastAsia="仿宋" w:cs="仿宋"/>
          <w:color w:val="auto"/>
          <w:highlight w:val="none"/>
        </w:rPr>
      </w:pPr>
    </w:p>
    <w:p w14:paraId="12CC60FD">
      <w:pPr>
        <w:pStyle w:val="4"/>
        <w:bidi w:val="0"/>
        <w:jc w:val="center"/>
        <w:rPr>
          <w:rFonts w:hint="eastAsia" w:ascii="仿宋" w:hAnsi="仿宋" w:eastAsia="仿宋" w:cs="仿宋"/>
          <w:color w:val="auto"/>
          <w:highlight w:val="none"/>
        </w:rPr>
      </w:pPr>
      <w:bookmarkStart w:id="245" w:name="_Toc13259"/>
      <w:r>
        <w:rPr>
          <w:rFonts w:hint="eastAsia" w:ascii="仿宋" w:hAnsi="仿宋" w:eastAsia="仿宋" w:cs="仿宋"/>
          <w:color w:val="auto"/>
          <w:highlight w:val="none"/>
        </w:rPr>
        <w:t>第三章  评审办法</w:t>
      </w:r>
      <w:r>
        <w:rPr>
          <w:rFonts w:hint="eastAsia" w:ascii="仿宋" w:hAnsi="仿宋" w:eastAsia="仿宋" w:cs="仿宋"/>
          <w:color w:val="auto"/>
          <w:highlight w:val="none"/>
          <w:lang w:val="en-US" w:eastAsia="zh-CN"/>
        </w:rPr>
        <w:t>（综合评分法）</w:t>
      </w:r>
      <w:bookmarkEnd w:id="245"/>
    </w:p>
    <w:p w14:paraId="53DF9195">
      <w:pPr>
        <w:widowControl/>
        <w:jc w:val="center"/>
        <w:rPr>
          <w:rFonts w:hint="eastAsia" w:ascii="仿宋" w:hAnsi="仿宋" w:eastAsia="仿宋" w:cs="仿宋"/>
          <w:color w:val="auto"/>
          <w:highlight w:val="none"/>
          <w:lang w:eastAsia="zh-CN"/>
        </w:rPr>
      </w:pPr>
    </w:p>
    <w:p w14:paraId="6AF14BB6">
      <w:pPr>
        <w:pStyle w:val="3"/>
        <w:jc w:val="center"/>
        <w:rPr>
          <w:rFonts w:hint="eastAsia" w:ascii="楷体" w:hAnsi="楷体" w:eastAsia="楷体" w:cs="楷体"/>
          <w:i/>
          <w:iCs/>
          <w:color w:val="auto"/>
          <w:highlight w:val="none"/>
          <w:lang w:val="en-US" w:eastAsia="zh-CN"/>
        </w:rPr>
      </w:pPr>
    </w:p>
    <w:p w14:paraId="084B5ECC">
      <w:pPr>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2B4D321D">
      <w:pPr>
        <w:pStyle w:val="5"/>
        <w:spacing w:line="240" w:lineRule="auto"/>
        <w:jc w:val="center"/>
        <w:rPr>
          <w:rFonts w:hint="eastAsia" w:ascii="仿宋" w:hAnsi="仿宋" w:eastAsia="仿宋" w:cs="仿宋"/>
          <w:color w:val="auto"/>
          <w:highlight w:val="none"/>
        </w:rPr>
      </w:pPr>
      <w:bookmarkStart w:id="246" w:name="_Toc9055"/>
      <w:r>
        <w:rPr>
          <w:rFonts w:hint="eastAsia" w:ascii="仿宋" w:hAnsi="仿宋" w:eastAsia="仿宋" w:cs="仿宋"/>
          <w:color w:val="auto"/>
          <w:highlight w:val="none"/>
        </w:rPr>
        <w:t>评审办法前附表</w:t>
      </w:r>
      <w:bookmarkEnd w:id="246"/>
    </w:p>
    <w:tbl>
      <w:tblPr>
        <w:tblStyle w:val="32"/>
        <w:tblW w:w="8647"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9"/>
        <w:gridCol w:w="1085"/>
        <w:gridCol w:w="2317"/>
        <w:gridCol w:w="4536"/>
      </w:tblGrid>
      <w:tr w14:paraId="30005C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794" w:type="dxa"/>
            <w:gridSpan w:val="2"/>
            <w:tcBorders>
              <w:top w:val="single" w:color="auto" w:sz="4" w:space="0"/>
              <w:bottom w:val="single" w:color="auto" w:sz="4" w:space="0"/>
              <w:right w:val="single" w:color="auto" w:sz="4" w:space="0"/>
            </w:tcBorders>
            <w:vAlign w:val="center"/>
          </w:tcPr>
          <w:p w14:paraId="3C031AAF">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br w:type="page"/>
            </w:r>
            <w:r>
              <w:rPr>
                <w:rFonts w:hint="eastAsia" w:ascii="仿宋" w:hAnsi="仿宋" w:eastAsia="仿宋" w:cs="仿宋"/>
                <w:b/>
                <w:color w:val="auto"/>
                <w:sz w:val="24"/>
                <w:szCs w:val="24"/>
                <w:highlight w:val="none"/>
              </w:rPr>
              <w:t>条款号及名称</w:t>
            </w:r>
          </w:p>
        </w:tc>
        <w:tc>
          <w:tcPr>
            <w:tcW w:w="2317" w:type="dxa"/>
            <w:tcBorders>
              <w:top w:val="single" w:color="auto" w:sz="4" w:space="0"/>
              <w:left w:val="single" w:color="auto" w:sz="4" w:space="0"/>
              <w:bottom w:val="single" w:color="auto" w:sz="4" w:space="0"/>
              <w:right w:val="single" w:color="auto" w:sz="4" w:space="0"/>
            </w:tcBorders>
            <w:vAlign w:val="center"/>
          </w:tcPr>
          <w:p w14:paraId="279A5B99">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评审因素</w:t>
            </w:r>
          </w:p>
        </w:tc>
        <w:tc>
          <w:tcPr>
            <w:tcW w:w="4536" w:type="dxa"/>
            <w:tcBorders>
              <w:top w:val="single" w:color="auto" w:sz="4" w:space="0"/>
              <w:left w:val="single" w:color="auto" w:sz="4" w:space="0"/>
              <w:bottom w:val="single" w:color="auto" w:sz="4" w:space="0"/>
              <w:right w:val="single" w:color="auto" w:sz="4" w:space="0"/>
            </w:tcBorders>
            <w:vAlign w:val="center"/>
          </w:tcPr>
          <w:p w14:paraId="5B431BD2">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评审标准</w:t>
            </w:r>
          </w:p>
        </w:tc>
      </w:tr>
      <w:tr w14:paraId="41EA16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9" w:type="dxa"/>
            <w:tcBorders>
              <w:top w:val="single" w:color="auto" w:sz="4" w:space="0"/>
              <w:left w:val="single" w:color="auto" w:sz="4" w:space="0"/>
              <w:bottom w:val="single" w:color="auto" w:sz="4" w:space="0"/>
              <w:right w:val="single" w:color="auto" w:sz="4" w:space="0"/>
            </w:tcBorders>
            <w:vAlign w:val="center"/>
          </w:tcPr>
          <w:p w14:paraId="5F2F648E">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085" w:type="dxa"/>
            <w:tcBorders>
              <w:top w:val="single" w:color="auto" w:sz="4" w:space="0"/>
              <w:left w:val="single" w:color="auto" w:sz="4" w:space="0"/>
              <w:bottom w:val="single" w:color="auto" w:sz="4" w:space="0"/>
              <w:right w:val="single" w:color="auto" w:sz="4" w:space="0"/>
            </w:tcBorders>
            <w:vAlign w:val="center"/>
          </w:tcPr>
          <w:p w14:paraId="37962B9D">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评审方法</w:t>
            </w:r>
          </w:p>
        </w:tc>
        <w:tc>
          <w:tcPr>
            <w:tcW w:w="2317" w:type="dxa"/>
            <w:tcBorders>
              <w:top w:val="single" w:color="auto" w:sz="4" w:space="0"/>
              <w:left w:val="single" w:color="auto" w:sz="4" w:space="0"/>
              <w:bottom w:val="single" w:color="auto" w:sz="4" w:space="0"/>
              <w:right w:val="single" w:color="auto" w:sz="4" w:space="0"/>
            </w:tcBorders>
            <w:vAlign w:val="center"/>
          </w:tcPr>
          <w:p w14:paraId="38132363">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评审方法</w:t>
            </w:r>
          </w:p>
        </w:tc>
        <w:tc>
          <w:tcPr>
            <w:tcW w:w="4536" w:type="dxa"/>
            <w:tcBorders>
              <w:top w:val="single" w:color="auto" w:sz="4" w:space="0"/>
              <w:left w:val="single" w:color="auto" w:sz="4" w:space="0"/>
              <w:bottom w:val="single" w:color="auto" w:sz="4" w:space="0"/>
              <w:right w:val="single" w:color="auto" w:sz="4" w:space="0"/>
            </w:tcBorders>
          </w:tcPr>
          <w:p w14:paraId="3B637F66">
            <w:pPr>
              <w:adjustRightInd w:val="0"/>
              <w:snapToGrid w:val="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综合评分法</w:t>
            </w:r>
          </w:p>
        </w:tc>
      </w:tr>
      <w:tr w14:paraId="11ED18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9" w:type="dxa"/>
            <w:vMerge w:val="restart"/>
            <w:tcBorders>
              <w:top w:val="single" w:color="auto" w:sz="4" w:space="0"/>
              <w:right w:val="single" w:color="auto" w:sz="4" w:space="0"/>
            </w:tcBorders>
            <w:vAlign w:val="center"/>
          </w:tcPr>
          <w:p w14:paraId="60CB3C45">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2.1.1</w:t>
            </w:r>
          </w:p>
        </w:tc>
        <w:tc>
          <w:tcPr>
            <w:tcW w:w="1085" w:type="dxa"/>
            <w:vMerge w:val="restart"/>
            <w:tcBorders>
              <w:top w:val="single" w:color="auto" w:sz="4" w:space="0"/>
              <w:right w:val="single" w:color="auto" w:sz="4" w:space="0"/>
            </w:tcBorders>
            <w:vAlign w:val="center"/>
          </w:tcPr>
          <w:p w14:paraId="732B03C3">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形式评审标准</w:t>
            </w:r>
          </w:p>
        </w:tc>
        <w:tc>
          <w:tcPr>
            <w:tcW w:w="2317" w:type="dxa"/>
            <w:tcBorders>
              <w:top w:val="single" w:color="auto" w:sz="4" w:space="0"/>
              <w:left w:val="single" w:color="auto" w:sz="4" w:space="0"/>
              <w:bottom w:val="single" w:color="auto" w:sz="4" w:space="0"/>
              <w:right w:val="single" w:color="auto" w:sz="4" w:space="0"/>
            </w:tcBorders>
            <w:vAlign w:val="center"/>
          </w:tcPr>
          <w:p w14:paraId="1719B6A9">
            <w:pPr>
              <w:adjustRightInd w:val="0"/>
              <w:snapToGrid w:val="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供应商名称</w:t>
            </w:r>
          </w:p>
        </w:tc>
        <w:tc>
          <w:tcPr>
            <w:tcW w:w="4536" w:type="dxa"/>
            <w:tcBorders>
              <w:top w:val="single" w:color="auto" w:sz="4" w:space="0"/>
              <w:left w:val="single" w:color="auto" w:sz="4" w:space="0"/>
              <w:bottom w:val="single" w:color="auto" w:sz="4" w:space="0"/>
              <w:right w:val="single" w:color="auto" w:sz="4" w:space="0"/>
            </w:tcBorders>
            <w:vAlign w:val="center"/>
          </w:tcPr>
          <w:p w14:paraId="26C80B2D">
            <w:pPr>
              <w:adjustRightInd w:val="0"/>
              <w:snapToGrid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与营业执照（事业单位法人证书）、资质证书一致</w:t>
            </w:r>
          </w:p>
        </w:tc>
      </w:tr>
      <w:tr w14:paraId="343983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9" w:type="dxa"/>
            <w:vMerge w:val="continue"/>
            <w:tcBorders>
              <w:right w:val="single" w:color="auto" w:sz="4" w:space="0"/>
            </w:tcBorders>
            <w:vAlign w:val="center"/>
          </w:tcPr>
          <w:p w14:paraId="219342F4">
            <w:pPr>
              <w:adjustRightInd w:val="0"/>
              <w:snapToGrid w:val="0"/>
              <w:rPr>
                <w:rFonts w:hint="eastAsia" w:ascii="仿宋" w:hAnsi="仿宋" w:eastAsia="仿宋" w:cs="仿宋"/>
                <w:color w:val="auto"/>
                <w:sz w:val="24"/>
                <w:szCs w:val="24"/>
                <w:highlight w:val="none"/>
              </w:rPr>
            </w:pPr>
          </w:p>
        </w:tc>
        <w:tc>
          <w:tcPr>
            <w:tcW w:w="1085" w:type="dxa"/>
            <w:vMerge w:val="continue"/>
            <w:tcBorders>
              <w:right w:val="single" w:color="auto" w:sz="4" w:space="0"/>
            </w:tcBorders>
            <w:vAlign w:val="center"/>
          </w:tcPr>
          <w:p w14:paraId="14A68A42">
            <w:pPr>
              <w:adjustRightInd w:val="0"/>
              <w:snapToGrid w:val="0"/>
              <w:rPr>
                <w:rFonts w:hint="eastAsia" w:ascii="仿宋" w:hAnsi="仿宋" w:eastAsia="仿宋" w:cs="仿宋"/>
                <w:color w:val="auto"/>
                <w:sz w:val="24"/>
                <w:szCs w:val="24"/>
                <w:highlight w:val="none"/>
              </w:rPr>
            </w:pPr>
          </w:p>
        </w:tc>
        <w:tc>
          <w:tcPr>
            <w:tcW w:w="2317" w:type="dxa"/>
            <w:tcBorders>
              <w:top w:val="single" w:color="auto" w:sz="4" w:space="0"/>
              <w:left w:val="single" w:color="auto" w:sz="4" w:space="0"/>
              <w:bottom w:val="single" w:color="auto" w:sz="4" w:space="0"/>
              <w:right w:val="single" w:color="auto" w:sz="4" w:space="0"/>
            </w:tcBorders>
            <w:vAlign w:val="center"/>
          </w:tcPr>
          <w:p w14:paraId="3A02EEB7">
            <w:pPr>
              <w:adjustRightInd w:val="0"/>
              <w:snapToGrid w:val="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响应文件签字盖章</w:t>
            </w:r>
          </w:p>
        </w:tc>
        <w:tc>
          <w:tcPr>
            <w:tcW w:w="4536" w:type="dxa"/>
            <w:tcBorders>
              <w:top w:val="single" w:color="auto" w:sz="4" w:space="0"/>
              <w:left w:val="single" w:color="auto" w:sz="4" w:space="0"/>
              <w:bottom w:val="single" w:color="auto" w:sz="4" w:space="0"/>
              <w:right w:val="single" w:color="auto" w:sz="4" w:space="0"/>
            </w:tcBorders>
            <w:vAlign w:val="center"/>
          </w:tcPr>
          <w:p w14:paraId="26F814CB">
            <w:pPr>
              <w:adjustRightInd w:val="0"/>
              <w:snapToGrid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有法定代表人（单位负责人）或其委托代理人签字或加盖单位章。由法定代表人（单位负责人）签字的，应附法定代表人（单位负责人）身份证明，由代理人签字的，应附授权委托书，身份证明或授权委托书应符合第六章“</w:t>
            </w:r>
            <w:r>
              <w:rPr>
                <w:rFonts w:hint="eastAsia" w:ascii="仿宋" w:hAnsi="仿宋" w:eastAsia="仿宋" w:cs="仿宋"/>
                <w:color w:val="auto"/>
                <w:sz w:val="24"/>
                <w:szCs w:val="24"/>
                <w:highlight w:val="none"/>
                <w:lang w:val="en-US" w:eastAsia="zh-CN"/>
              </w:rPr>
              <w:t>响应文件</w:t>
            </w:r>
            <w:r>
              <w:rPr>
                <w:rFonts w:hint="eastAsia" w:ascii="仿宋" w:hAnsi="仿宋" w:eastAsia="仿宋" w:cs="仿宋"/>
                <w:color w:val="auto"/>
                <w:sz w:val="24"/>
                <w:szCs w:val="24"/>
                <w:highlight w:val="none"/>
              </w:rPr>
              <w:t>格式”的规定</w:t>
            </w:r>
          </w:p>
        </w:tc>
      </w:tr>
      <w:tr w14:paraId="029756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9" w:type="dxa"/>
            <w:vMerge w:val="continue"/>
            <w:tcBorders>
              <w:right w:val="single" w:color="auto" w:sz="4" w:space="0"/>
            </w:tcBorders>
            <w:vAlign w:val="center"/>
          </w:tcPr>
          <w:p w14:paraId="551FE532">
            <w:pPr>
              <w:adjustRightInd w:val="0"/>
              <w:snapToGrid w:val="0"/>
              <w:rPr>
                <w:rFonts w:hint="eastAsia" w:ascii="仿宋" w:hAnsi="仿宋" w:eastAsia="仿宋" w:cs="仿宋"/>
                <w:color w:val="auto"/>
                <w:sz w:val="24"/>
                <w:szCs w:val="24"/>
                <w:highlight w:val="none"/>
              </w:rPr>
            </w:pPr>
          </w:p>
        </w:tc>
        <w:tc>
          <w:tcPr>
            <w:tcW w:w="1085" w:type="dxa"/>
            <w:vMerge w:val="continue"/>
            <w:tcBorders>
              <w:right w:val="single" w:color="auto" w:sz="4" w:space="0"/>
            </w:tcBorders>
            <w:vAlign w:val="center"/>
          </w:tcPr>
          <w:p w14:paraId="5BBF193E">
            <w:pPr>
              <w:adjustRightInd w:val="0"/>
              <w:snapToGrid w:val="0"/>
              <w:rPr>
                <w:rFonts w:hint="eastAsia" w:ascii="仿宋" w:hAnsi="仿宋" w:eastAsia="仿宋" w:cs="仿宋"/>
                <w:color w:val="auto"/>
                <w:sz w:val="24"/>
                <w:szCs w:val="24"/>
                <w:highlight w:val="none"/>
              </w:rPr>
            </w:pPr>
          </w:p>
        </w:tc>
        <w:tc>
          <w:tcPr>
            <w:tcW w:w="2317" w:type="dxa"/>
            <w:tcBorders>
              <w:top w:val="single" w:color="auto" w:sz="4" w:space="0"/>
              <w:left w:val="single" w:color="auto" w:sz="4" w:space="0"/>
              <w:bottom w:val="single" w:color="auto" w:sz="4" w:space="0"/>
              <w:right w:val="single" w:color="auto" w:sz="4" w:space="0"/>
            </w:tcBorders>
            <w:vAlign w:val="center"/>
          </w:tcPr>
          <w:p w14:paraId="7CD93ADC">
            <w:pPr>
              <w:spacing w:line="44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响应文件</w:t>
            </w:r>
            <w:r>
              <w:rPr>
                <w:rFonts w:hint="eastAsia" w:ascii="仿宋" w:hAnsi="仿宋" w:eastAsia="仿宋" w:cs="仿宋"/>
                <w:color w:val="auto"/>
                <w:sz w:val="24"/>
                <w:szCs w:val="24"/>
                <w:highlight w:val="none"/>
              </w:rPr>
              <w:t>文件格式</w:t>
            </w:r>
          </w:p>
        </w:tc>
        <w:tc>
          <w:tcPr>
            <w:tcW w:w="4536" w:type="dxa"/>
            <w:tcBorders>
              <w:top w:val="single" w:color="auto" w:sz="4" w:space="0"/>
              <w:left w:val="single" w:color="auto" w:sz="4" w:space="0"/>
              <w:bottom w:val="single" w:color="auto" w:sz="4" w:space="0"/>
              <w:right w:val="single" w:color="auto" w:sz="4" w:space="0"/>
            </w:tcBorders>
            <w:vAlign w:val="center"/>
          </w:tcPr>
          <w:p w14:paraId="5C02A2E0">
            <w:pPr>
              <w:spacing w:line="44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符合第六章“</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文件格式”的规定</w:t>
            </w:r>
          </w:p>
        </w:tc>
      </w:tr>
      <w:tr w14:paraId="376004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9" w:type="dxa"/>
            <w:vMerge w:val="restart"/>
            <w:tcBorders>
              <w:top w:val="single" w:color="auto" w:sz="4" w:space="0"/>
              <w:right w:val="single" w:color="auto" w:sz="4" w:space="0"/>
            </w:tcBorders>
            <w:vAlign w:val="center"/>
          </w:tcPr>
          <w:p w14:paraId="12B36E0C">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2.1.2</w:t>
            </w:r>
          </w:p>
        </w:tc>
        <w:tc>
          <w:tcPr>
            <w:tcW w:w="1085" w:type="dxa"/>
            <w:vMerge w:val="restart"/>
            <w:tcBorders>
              <w:top w:val="single" w:color="auto" w:sz="4" w:space="0"/>
              <w:left w:val="single" w:color="auto" w:sz="4" w:space="0"/>
              <w:right w:val="single" w:color="auto" w:sz="4" w:space="0"/>
            </w:tcBorders>
            <w:vAlign w:val="center"/>
          </w:tcPr>
          <w:p w14:paraId="745C3E6D">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资格评审标准</w:t>
            </w:r>
          </w:p>
        </w:tc>
        <w:tc>
          <w:tcPr>
            <w:tcW w:w="2317" w:type="dxa"/>
            <w:tcBorders>
              <w:top w:val="single" w:color="auto" w:sz="4" w:space="0"/>
              <w:left w:val="single" w:color="auto" w:sz="4" w:space="0"/>
              <w:bottom w:val="single" w:color="auto" w:sz="4" w:space="0"/>
              <w:right w:val="single" w:color="auto" w:sz="4" w:space="0"/>
            </w:tcBorders>
            <w:vAlign w:val="center"/>
          </w:tcPr>
          <w:p w14:paraId="1DB334C5">
            <w:pPr>
              <w:spacing w:line="44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营业执照（事业单位法人证书）和组织机构代码证</w:t>
            </w:r>
          </w:p>
        </w:tc>
        <w:tc>
          <w:tcPr>
            <w:tcW w:w="4536" w:type="dxa"/>
            <w:tcBorders>
              <w:top w:val="single" w:color="auto" w:sz="4" w:space="0"/>
              <w:left w:val="single" w:color="auto" w:sz="4" w:space="0"/>
              <w:bottom w:val="single" w:color="auto" w:sz="4" w:space="0"/>
              <w:right w:val="single" w:color="auto" w:sz="4" w:space="0"/>
            </w:tcBorders>
            <w:vAlign w:val="center"/>
          </w:tcPr>
          <w:p w14:paraId="72463AE9">
            <w:pPr>
              <w:spacing w:line="44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符合第二章“</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人须知”第3.5.1项规定，具备有效的营业执照（事业单位法人证书）和组织机构代码证</w:t>
            </w:r>
          </w:p>
        </w:tc>
      </w:tr>
      <w:tr w14:paraId="2BCCCF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9" w:type="dxa"/>
            <w:vMerge w:val="continue"/>
            <w:tcBorders>
              <w:top w:val="single" w:color="auto" w:sz="4" w:space="0"/>
              <w:bottom w:val="single" w:color="auto" w:sz="4" w:space="0"/>
              <w:right w:val="single" w:color="auto" w:sz="4" w:space="0"/>
            </w:tcBorders>
            <w:vAlign w:val="center"/>
          </w:tcPr>
          <w:p w14:paraId="39F6C75A">
            <w:pPr>
              <w:adjustRightInd w:val="0"/>
              <w:snapToGrid w:val="0"/>
              <w:rPr>
                <w:rFonts w:hint="eastAsia" w:ascii="仿宋" w:hAnsi="仿宋" w:eastAsia="仿宋" w:cs="仿宋"/>
                <w:color w:val="auto"/>
                <w:sz w:val="24"/>
                <w:szCs w:val="24"/>
                <w:highlight w:val="none"/>
              </w:rPr>
            </w:pPr>
          </w:p>
        </w:tc>
        <w:tc>
          <w:tcPr>
            <w:tcW w:w="1085" w:type="dxa"/>
            <w:vMerge w:val="continue"/>
            <w:tcBorders>
              <w:top w:val="single" w:color="auto" w:sz="4" w:space="0"/>
              <w:left w:val="single" w:color="auto" w:sz="4" w:space="0"/>
              <w:bottom w:val="single" w:color="auto" w:sz="4" w:space="0"/>
              <w:right w:val="single" w:color="auto" w:sz="4" w:space="0"/>
            </w:tcBorders>
            <w:vAlign w:val="center"/>
          </w:tcPr>
          <w:p w14:paraId="3DFCDF08">
            <w:pPr>
              <w:adjustRightInd w:val="0"/>
              <w:snapToGrid w:val="0"/>
              <w:rPr>
                <w:rFonts w:hint="eastAsia" w:ascii="仿宋" w:hAnsi="仿宋" w:eastAsia="仿宋" w:cs="仿宋"/>
                <w:color w:val="auto"/>
                <w:sz w:val="24"/>
                <w:szCs w:val="24"/>
                <w:highlight w:val="none"/>
              </w:rPr>
            </w:pPr>
          </w:p>
        </w:tc>
        <w:tc>
          <w:tcPr>
            <w:tcW w:w="2317" w:type="dxa"/>
            <w:tcBorders>
              <w:top w:val="single" w:color="auto" w:sz="4" w:space="0"/>
              <w:left w:val="single" w:color="auto" w:sz="4" w:space="0"/>
              <w:bottom w:val="single" w:color="auto" w:sz="4" w:space="0"/>
              <w:right w:val="single" w:color="auto" w:sz="4" w:space="0"/>
            </w:tcBorders>
            <w:vAlign w:val="center"/>
          </w:tcPr>
          <w:p w14:paraId="0A430B10">
            <w:pPr>
              <w:spacing w:line="440" w:lineRule="exact"/>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供应商不得存在第二章供应商须知第1.2.2项、第1.2.3项规定的情形</w:t>
            </w:r>
          </w:p>
        </w:tc>
        <w:tc>
          <w:tcPr>
            <w:tcW w:w="4536" w:type="dxa"/>
            <w:tcBorders>
              <w:top w:val="single" w:color="auto" w:sz="4" w:space="0"/>
              <w:left w:val="single" w:color="auto" w:sz="4" w:space="0"/>
              <w:bottom w:val="single" w:color="auto" w:sz="4" w:space="0"/>
              <w:right w:val="single" w:color="auto" w:sz="4" w:space="0"/>
            </w:tcBorders>
            <w:vAlign w:val="center"/>
          </w:tcPr>
          <w:p w14:paraId="7083AEE2">
            <w:pPr>
              <w:spacing w:line="44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供应商不得存在第二章供应商须知第1.2.2项、第1.2.3项规定的情形。供应商应按照第六章“响应文件格式”的“诚信响应承诺书”承诺。</w:t>
            </w:r>
          </w:p>
        </w:tc>
      </w:tr>
      <w:tr w14:paraId="3AA793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794" w:type="dxa"/>
            <w:gridSpan w:val="2"/>
            <w:tcBorders>
              <w:top w:val="single" w:color="auto" w:sz="4" w:space="0"/>
              <w:right w:val="single" w:color="auto" w:sz="4" w:space="0"/>
            </w:tcBorders>
            <w:vAlign w:val="center"/>
          </w:tcPr>
          <w:p w14:paraId="0BEFB090">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条款号</w:t>
            </w:r>
          </w:p>
        </w:tc>
        <w:tc>
          <w:tcPr>
            <w:tcW w:w="2317" w:type="dxa"/>
            <w:tcBorders>
              <w:top w:val="single" w:color="auto" w:sz="4" w:space="0"/>
              <w:left w:val="single" w:color="auto" w:sz="4" w:space="0"/>
              <w:right w:val="single" w:color="auto" w:sz="4" w:space="0"/>
            </w:tcBorders>
            <w:vAlign w:val="center"/>
          </w:tcPr>
          <w:p w14:paraId="76D79FB0">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条款内容</w:t>
            </w:r>
          </w:p>
        </w:tc>
        <w:tc>
          <w:tcPr>
            <w:tcW w:w="4536" w:type="dxa"/>
            <w:tcBorders>
              <w:top w:val="single" w:color="auto" w:sz="4" w:space="0"/>
              <w:left w:val="single" w:color="auto" w:sz="4" w:space="0"/>
            </w:tcBorders>
            <w:vAlign w:val="center"/>
          </w:tcPr>
          <w:p w14:paraId="254F979E">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编列内容</w:t>
            </w:r>
          </w:p>
        </w:tc>
      </w:tr>
      <w:tr w14:paraId="251CC8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47" w:type="dxa"/>
            <w:gridSpan w:val="4"/>
            <w:tcBorders>
              <w:top w:val="single" w:color="auto" w:sz="4" w:space="0"/>
              <w:bottom w:val="single" w:color="auto" w:sz="4" w:space="0"/>
              <w:right w:val="single" w:color="auto" w:sz="4" w:space="0"/>
            </w:tcBorders>
            <w:vAlign w:val="center"/>
          </w:tcPr>
          <w:p w14:paraId="422755AF">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3.</w:t>
            </w:r>
            <w:r>
              <w:rPr>
                <w:rFonts w:hint="eastAsia" w:ascii="仿宋" w:hAnsi="仿宋" w:eastAsia="仿宋" w:cs="仿宋"/>
                <w:color w:val="auto"/>
                <w:sz w:val="24"/>
                <w:szCs w:val="24"/>
                <w:highlight w:val="none"/>
              </w:rPr>
              <w:t xml:space="preserve"> </w:t>
            </w:r>
            <w:r>
              <w:rPr>
                <w:rFonts w:hint="eastAsia" w:ascii="仿宋" w:hAnsi="仿宋" w:eastAsia="仿宋" w:cs="仿宋"/>
                <w:b/>
                <w:color w:val="auto"/>
                <w:sz w:val="24"/>
                <w:szCs w:val="24"/>
                <w:highlight w:val="none"/>
              </w:rPr>
              <w:t>详细评审标准和程序</w:t>
            </w:r>
          </w:p>
        </w:tc>
      </w:tr>
      <w:tr w14:paraId="2D8F72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794" w:type="dxa"/>
            <w:gridSpan w:val="2"/>
            <w:tcBorders>
              <w:top w:val="single" w:color="auto" w:sz="4" w:space="0"/>
              <w:bottom w:val="single" w:color="auto" w:sz="4" w:space="0"/>
              <w:right w:val="single" w:color="auto" w:sz="4" w:space="0"/>
            </w:tcBorders>
            <w:vAlign w:val="center"/>
          </w:tcPr>
          <w:p w14:paraId="6401B8D9">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条款号</w:t>
            </w:r>
          </w:p>
        </w:tc>
        <w:tc>
          <w:tcPr>
            <w:tcW w:w="2317" w:type="dxa"/>
            <w:tcBorders>
              <w:top w:val="single" w:color="auto" w:sz="4" w:space="0"/>
              <w:left w:val="single" w:color="auto" w:sz="4" w:space="0"/>
              <w:bottom w:val="single" w:color="auto" w:sz="4" w:space="0"/>
              <w:right w:val="single" w:color="auto" w:sz="4" w:space="0"/>
            </w:tcBorders>
            <w:vAlign w:val="center"/>
          </w:tcPr>
          <w:p w14:paraId="52E8AE88">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条款内容</w:t>
            </w:r>
          </w:p>
        </w:tc>
        <w:tc>
          <w:tcPr>
            <w:tcW w:w="4536" w:type="dxa"/>
            <w:tcBorders>
              <w:top w:val="single" w:color="auto" w:sz="4" w:space="0"/>
              <w:left w:val="single" w:color="auto" w:sz="4" w:space="0"/>
              <w:bottom w:val="single" w:color="auto" w:sz="4" w:space="0"/>
              <w:right w:val="single" w:color="auto" w:sz="4" w:space="0"/>
            </w:tcBorders>
            <w:vAlign w:val="center"/>
          </w:tcPr>
          <w:p w14:paraId="647ADE8E">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编列内容</w:t>
            </w:r>
          </w:p>
        </w:tc>
      </w:tr>
      <w:tr w14:paraId="4A2F51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794" w:type="dxa"/>
            <w:gridSpan w:val="2"/>
            <w:tcBorders>
              <w:bottom w:val="single" w:color="auto" w:sz="4" w:space="0"/>
              <w:right w:val="single" w:color="auto" w:sz="4" w:space="0"/>
            </w:tcBorders>
            <w:vAlign w:val="center"/>
          </w:tcPr>
          <w:p w14:paraId="73AFA9E8">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3. 1</w:t>
            </w:r>
          </w:p>
        </w:tc>
        <w:tc>
          <w:tcPr>
            <w:tcW w:w="2317" w:type="dxa"/>
            <w:tcBorders>
              <w:top w:val="single" w:color="auto" w:sz="4" w:space="0"/>
              <w:left w:val="single" w:color="auto" w:sz="4" w:space="0"/>
              <w:bottom w:val="single" w:color="auto" w:sz="4" w:space="0"/>
              <w:right w:val="single" w:color="auto" w:sz="4" w:space="0"/>
            </w:tcBorders>
            <w:vAlign w:val="center"/>
          </w:tcPr>
          <w:p w14:paraId="28E54237">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分值构成</w:t>
            </w:r>
          </w:p>
          <w:p w14:paraId="4732C565">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(总分100分)</w:t>
            </w:r>
          </w:p>
        </w:tc>
        <w:tc>
          <w:tcPr>
            <w:tcW w:w="4536" w:type="dxa"/>
            <w:tcBorders>
              <w:top w:val="single" w:color="auto" w:sz="4" w:space="0"/>
              <w:left w:val="single" w:color="auto" w:sz="4" w:space="0"/>
              <w:bottom w:val="single" w:color="auto" w:sz="4" w:space="0"/>
              <w:right w:val="single" w:color="auto" w:sz="4" w:space="0"/>
            </w:tcBorders>
            <w:vAlign w:val="center"/>
          </w:tcPr>
          <w:p w14:paraId="5569019F">
            <w:pPr>
              <w:adjustRightInd w:val="0"/>
              <w:snapToGrid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商务</w:t>
            </w:r>
            <w:r>
              <w:rPr>
                <w:rFonts w:hint="eastAsia" w:ascii="仿宋" w:hAnsi="仿宋" w:eastAsia="仿宋" w:cs="仿宋"/>
                <w:color w:val="auto"/>
                <w:sz w:val="24"/>
                <w:szCs w:val="24"/>
                <w:highlight w:val="none"/>
                <w:lang w:val="en-US" w:eastAsia="zh-CN"/>
              </w:rPr>
              <w:t>技术</w:t>
            </w:r>
            <w:r>
              <w:rPr>
                <w:rFonts w:hint="eastAsia" w:ascii="仿宋" w:hAnsi="仿宋" w:eastAsia="仿宋" w:cs="仿宋"/>
                <w:color w:val="auto"/>
                <w:sz w:val="24"/>
                <w:szCs w:val="24"/>
                <w:highlight w:val="none"/>
              </w:rPr>
              <w:t>部分：</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50</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分</w:t>
            </w:r>
          </w:p>
          <w:p w14:paraId="543DE260">
            <w:pPr>
              <w:adjustRightInd w:val="0"/>
              <w:snapToGrid w:val="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报价部分：</w:t>
            </w:r>
            <w:r>
              <w:rPr>
                <w:rFonts w:hint="eastAsia" w:ascii="仿宋" w:hAnsi="仿宋" w:eastAsia="仿宋" w:cs="仿宋"/>
                <w:color w:val="auto"/>
                <w:sz w:val="24"/>
                <w:szCs w:val="24"/>
                <w:highlight w:val="none"/>
                <w:u w:val="single"/>
                <w:lang w:val="en-US" w:eastAsia="zh-CN"/>
              </w:rPr>
              <w:t>50</w:t>
            </w:r>
            <w:r>
              <w:rPr>
                <w:rFonts w:hint="eastAsia" w:ascii="仿宋" w:hAnsi="仿宋" w:eastAsia="仿宋" w:cs="仿宋"/>
                <w:color w:val="auto"/>
                <w:sz w:val="24"/>
                <w:szCs w:val="24"/>
                <w:highlight w:val="none"/>
                <w:lang w:val="en-US" w:eastAsia="zh-CN"/>
              </w:rPr>
              <w:t>分</w:t>
            </w:r>
          </w:p>
        </w:tc>
      </w:tr>
      <w:tr w14:paraId="1131A5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794" w:type="dxa"/>
            <w:gridSpan w:val="2"/>
            <w:tcBorders>
              <w:top w:val="nil"/>
              <w:bottom w:val="single" w:color="auto" w:sz="4" w:space="0"/>
              <w:right w:val="single" w:color="auto" w:sz="4" w:space="0"/>
            </w:tcBorders>
            <w:vAlign w:val="center"/>
          </w:tcPr>
          <w:p w14:paraId="55A148A2">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条款号及名称</w:t>
            </w:r>
          </w:p>
        </w:tc>
        <w:tc>
          <w:tcPr>
            <w:tcW w:w="2317" w:type="dxa"/>
            <w:tcBorders>
              <w:top w:val="single" w:color="auto" w:sz="4" w:space="0"/>
              <w:left w:val="single" w:color="auto" w:sz="4" w:space="0"/>
              <w:bottom w:val="single" w:color="auto" w:sz="4" w:space="0"/>
              <w:right w:val="single" w:color="auto" w:sz="4" w:space="0"/>
            </w:tcBorders>
            <w:vAlign w:val="center"/>
          </w:tcPr>
          <w:p w14:paraId="2468EC9F">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评分因素</w:t>
            </w:r>
          </w:p>
        </w:tc>
        <w:tc>
          <w:tcPr>
            <w:tcW w:w="4536" w:type="dxa"/>
            <w:tcBorders>
              <w:top w:val="single" w:color="auto" w:sz="4" w:space="0"/>
              <w:left w:val="single" w:color="auto" w:sz="4" w:space="0"/>
              <w:bottom w:val="single" w:color="auto" w:sz="4" w:space="0"/>
              <w:right w:val="single" w:color="auto" w:sz="4" w:space="0"/>
            </w:tcBorders>
            <w:vAlign w:val="center"/>
          </w:tcPr>
          <w:p w14:paraId="64D7F814">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评分标准</w:t>
            </w:r>
          </w:p>
        </w:tc>
      </w:tr>
      <w:tr w14:paraId="54F639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9" w:type="dxa"/>
            <w:vMerge w:val="restart"/>
            <w:tcBorders>
              <w:right w:val="single" w:color="auto" w:sz="4" w:space="0"/>
            </w:tcBorders>
            <w:vAlign w:val="center"/>
          </w:tcPr>
          <w:p w14:paraId="243F00C4">
            <w:pPr>
              <w:adjustRightInd w:val="0"/>
              <w:snapToGrid w:val="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2（1）</w:t>
            </w:r>
          </w:p>
        </w:tc>
        <w:tc>
          <w:tcPr>
            <w:tcW w:w="1085" w:type="dxa"/>
            <w:vMerge w:val="restart"/>
            <w:tcBorders>
              <w:right w:val="single" w:color="auto" w:sz="4" w:space="0"/>
            </w:tcBorders>
            <w:vAlign w:val="center"/>
          </w:tcPr>
          <w:p w14:paraId="66774276">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商务</w:t>
            </w:r>
            <w:r>
              <w:rPr>
                <w:rFonts w:hint="eastAsia" w:ascii="仿宋" w:hAnsi="仿宋" w:eastAsia="仿宋" w:cs="仿宋"/>
                <w:color w:val="auto"/>
                <w:sz w:val="24"/>
                <w:szCs w:val="24"/>
                <w:highlight w:val="none"/>
                <w:lang w:val="en-US" w:eastAsia="zh-CN"/>
              </w:rPr>
              <w:t>技术</w:t>
            </w:r>
            <w:r>
              <w:rPr>
                <w:rFonts w:hint="eastAsia" w:ascii="仿宋" w:hAnsi="仿宋" w:eastAsia="仿宋" w:cs="仿宋"/>
                <w:color w:val="auto"/>
                <w:sz w:val="24"/>
                <w:szCs w:val="24"/>
                <w:highlight w:val="none"/>
              </w:rPr>
              <w:t>评分标准</w:t>
            </w:r>
          </w:p>
        </w:tc>
        <w:tc>
          <w:tcPr>
            <w:tcW w:w="2317" w:type="dxa"/>
            <w:tcBorders>
              <w:top w:val="single" w:color="auto" w:sz="4" w:space="0"/>
              <w:left w:val="single" w:color="auto" w:sz="4" w:space="0"/>
              <w:right w:val="single" w:color="auto" w:sz="4" w:space="0"/>
            </w:tcBorders>
            <w:vAlign w:val="center"/>
          </w:tcPr>
          <w:p w14:paraId="09719720">
            <w:pPr>
              <w:widowControl/>
              <w:jc w:val="left"/>
              <w:rPr>
                <w:rFonts w:hint="eastAsia" w:ascii="仿宋" w:hAnsi="仿宋" w:eastAsia="仿宋" w:cs="仿宋"/>
                <w:i w:val="0"/>
                <w:iCs w:val="0"/>
                <w:color w:val="auto"/>
                <w:kern w:val="2"/>
                <w:sz w:val="24"/>
                <w:szCs w:val="24"/>
                <w:highlight w:val="none"/>
                <w:lang w:val="en-US" w:eastAsia="zh-CN" w:bidi="ar-SA"/>
              </w:rPr>
            </w:pPr>
            <w:r>
              <w:rPr>
                <w:rFonts w:hint="eastAsia" w:ascii="仿宋" w:hAnsi="仿宋" w:eastAsia="仿宋" w:cs="仿宋"/>
                <w:i w:val="0"/>
                <w:iCs w:val="0"/>
                <w:color w:val="auto"/>
                <w:sz w:val="24"/>
                <w:szCs w:val="24"/>
                <w:highlight w:val="none"/>
                <w:lang w:val="en-US" w:eastAsia="zh-CN"/>
              </w:rPr>
              <w:t>供应商业绩（10分）</w:t>
            </w:r>
          </w:p>
        </w:tc>
        <w:tc>
          <w:tcPr>
            <w:tcW w:w="4536" w:type="dxa"/>
            <w:tcBorders>
              <w:top w:val="single" w:color="auto" w:sz="4" w:space="0"/>
              <w:left w:val="single" w:color="auto" w:sz="4" w:space="0"/>
              <w:right w:val="single" w:color="auto" w:sz="4" w:space="0"/>
            </w:tcBorders>
            <w:vAlign w:val="center"/>
          </w:tcPr>
          <w:p w14:paraId="0EFFD12D">
            <w:pP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20</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rPr>
              <w:t>年1月1日以来，</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合作过的</w:t>
            </w:r>
            <w:r>
              <w:rPr>
                <w:rFonts w:hint="eastAsia" w:ascii="仿宋" w:hAnsi="仿宋" w:eastAsia="仿宋" w:cs="仿宋"/>
                <w:color w:val="auto"/>
                <w:sz w:val="24"/>
                <w:szCs w:val="24"/>
                <w:highlight w:val="none"/>
                <w:lang w:val="en-US" w:eastAsia="zh-CN"/>
              </w:rPr>
              <w:t>类似本项目的配送业绩，每提供一份得10分，本项满分10分。</w:t>
            </w:r>
          </w:p>
          <w:p w14:paraId="1ED098DC">
            <w:pPr>
              <w:adjustRightInd w:val="0"/>
              <w:snapToGrid w:val="0"/>
              <w:jc w:val="both"/>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rPr>
              <w:t>注：</w:t>
            </w:r>
            <w:r>
              <w:rPr>
                <w:rFonts w:hint="eastAsia" w:ascii="仿宋" w:hAnsi="仿宋" w:eastAsia="仿宋" w:cs="仿宋"/>
                <w:b w:val="0"/>
                <w:bCs w:val="0"/>
                <w:i w:val="0"/>
                <w:iCs w:val="0"/>
                <w:color w:val="auto"/>
                <w:sz w:val="24"/>
                <w:szCs w:val="24"/>
                <w:highlight w:val="none"/>
                <w:lang w:val="en-US" w:eastAsia="zh-CN"/>
              </w:rPr>
              <w:t>供应商</w:t>
            </w:r>
            <w:r>
              <w:rPr>
                <w:rFonts w:hint="eastAsia" w:ascii="仿宋" w:hAnsi="仿宋" w:eastAsia="仿宋" w:cs="仿宋"/>
                <w:b w:val="0"/>
                <w:bCs w:val="0"/>
                <w:color w:val="auto"/>
                <w:sz w:val="24"/>
                <w:szCs w:val="24"/>
                <w:highlight w:val="none"/>
              </w:rPr>
              <w:t>须提供相关合作证明复印件</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包括合同或相关发票或相关业主证明材料等</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。若合同签订时间在20</w:t>
            </w:r>
            <w:r>
              <w:rPr>
                <w:rFonts w:hint="eastAsia" w:ascii="仿宋" w:hAnsi="仿宋" w:eastAsia="仿宋" w:cs="仿宋"/>
                <w:b w:val="0"/>
                <w:bCs w:val="0"/>
                <w:color w:val="auto"/>
                <w:sz w:val="24"/>
                <w:szCs w:val="24"/>
                <w:highlight w:val="none"/>
                <w:lang w:val="en-US" w:eastAsia="zh-CN"/>
              </w:rPr>
              <w:t>20</w:t>
            </w:r>
            <w:r>
              <w:rPr>
                <w:rFonts w:hint="eastAsia" w:ascii="仿宋" w:hAnsi="仿宋" w:eastAsia="仿宋" w:cs="仿宋"/>
                <w:b w:val="0"/>
                <w:bCs w:val="0"/>
                <w:color w:val="auto"/>
                <w:sz w:val="24"/>
                <w:szCs w:val="24"/>
                <w:highlight w:val="none"/>
              </w:rPr>
              <w:t>年1月1日以前，但仍在合作有效期内的，予以认可。</w:t>
            </w:r>
          </w:p>
        </w:tc>
      </w:tr>
      <w:tr w14:paraId="0D69A8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9" w:type="dxa"/>
            <w:vMerge w:val="continue"/>
            <w:tcBorders>
              <w:right w:val="single" w:color="auto" w:sz="4" w:space="0"/>
            </w:tcBorders>
            <w:vAlign w:val="center"/>
          </w:tcPr>
          <w:p w14:paraId="5B9CF64F">
            <w:pPr>
              <w:adjustRightInd w:val="0"/>
              <w:snapToGrid w:val="0"/>
              <w:jc w:val="center"/>
              <w:rPr>
                <w:rFonts w:hint="eastAsia" w:ascii="仿宋" w:hAnsi="仿宋" w:eastAsia="仿宋" w:cs="仿宋"/>
                <w:color w:val="auto"/>
                <w:sz w:val="24"/>
                <w:szCs w:val="24"/>
                <w:highlight w:val="none"/>
              </w:rPr>
            </w:pPr>
          </w:p>
        </w:tc>
        <w:tc>
          <w:tcPr>
            <w:tcW w:w="1085" w:type="dxa"/>
            <w:vMerge w:val="continue"/>
            <w:tcBorders>
              <w:right w:val="single" w:color="auto" w:sz="4" w:space="0"/>
            </w:tcBorders>
            <w:vAlign w:val="center"/>
          </w:tcPr>
          <w:p w14:paraId="090DAD38">
            <w:pPr>
              <w:adjustRightInd w:val="0"/>
              <w:snapToGrid w:val="0"/>
              <w:jc w:val="center"/>
              <w:rPr>
                <w:rFonts w:hint="eastAsia" w:ascii="仿宋" w:hAnsi="仿宋" w:eastAsia="仿宋" w:cs="仿宋"/>
                <w:color w:val="auto"/>
                <w:sz w:val="24"/>
                <w:szCs w:val="24"/>
                <w:highlight w:val="none"/>
              </w:rPr>
            </w:pPr>
          </w:p>
        </w:tc>
        <w:tc>
          <w:tcPr>
            <w:tcW w:w="2317" w:type="dxa"/>
            <w:tcBorders>
              <w:top w:val="single" w:color="auto" w:sz="4" w:space="0"/>
              <w:left w:val="single" w:color="auto" w:sz="4" w:space="0"/>
              <w:right w:val="single" w:color="auto" w:sz="4" w:space="0"/>
            </w:tcBorders>
            <w:vAlign w:val="center"/>
          </w:tcPr>
          <w:p w14:paraId="1D1D508B">
            <w:pPr>
              <w:widowControl/>
              <w:jc w:val="left"/>
              <w:rPr>
                <w:rFonts w:hint="eastAsia" w:ascii="仿宋" w:hAnsi="仿宋" w:eastAsia="仿宋" w:cs="仿宋"/>
                <w:i w:val="0"/>
                <w:iCs w:val="0"/>
                <w:color w:val="auto"/>
                <w:kern w:val="2"/>
                <w:sz w:val="24"/>
                <w:szCs w:val="24"/>
                <w:highlight w:val="none"/>
                <w:lang w:val="en-US" w:eastAsia="zh-CN" w:bidi="ar-SA"/>
              </w:rPr>
            </w:pPr>
            <w:r>
              <w:rPr>
                <w:rFonts w:hint="eastAsia" w:ascii="仿宋" w:hAnsi="仿宋" w:eastAsia="仿宋" w:cs="仿宋"/>
                <w:i w:val="0"/>
                <w:iCs w:val="0"/>
                <w:color w:val="auto"/>
                <w:sz w:val="24"/>
                <w:szCs w:val="24"/>
                <w:highlight w:val="none"/>
                <w:lang w:val="en-US" w:eastAsia="zh-CN"/>
              </w:rPr>
              <w:t>配送方案（20分）</w:t>
            </w:r>
          </w:p>
        </w:tc>
        <w:tc>
          <w:tcPr>
            <w:tcW w:w="4536" w:type="dxa"/>
            <w:tcBorders>
              <w:top w:val="single" w:color="auto" w:sz="4" w:space="0"/>
              <w:left w:val="single" w:color="auto" w:sz="4" w:space="0"/>
              <w:right w:val="single" w:color="auto" w:sz="4" w:space="0"/>
            </w:tcBorders>
            <w:vAlign w:val="center"/>
          </w:tcPr>
          <w:p w14:paraId="049F24F2">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w:t>
            </w:r>
            <w:r>
              <w:rPr>
                <w:rFonts w:hint="eastAsia" w:ascii="仿宋" w:hAnsi="仿宋" w:eastAsia="仿宋" w:cs="仿宋"/>
                <w:color w:val="auto"/>
                <w:sz w:val="24"/>
                <w:szCs w:val="24"/>
                <w:highlight w:val="none"/>
                <w:lang w:val="en-US" w:eastAsia="zh-CN"/>
              </w:rPr>
              <w:t>为本项目制定的相关配送方案</w:t>
            </w:r>
            <w:r>
              <w:rPr>
                <w:rFonts w:hint="eastAsia" w:ascii="仿宋" w:hAnsi="仿宋" w:eastAsia="仿宋" w:cs="仿宋"/>
                <w:color w:val="auto"/>
                <w:sz w:val="24"/>
                <w:szCs w:val="24"/>
                <w:highlight w:val="none"/>
              </w:rPr>
              <w:t>，优得</w:t>
            </w:r>
            <w:r>
              <w:rPr>
                <w:rFonts w:hint="eastAsia" w:ascii="仿宋" w:hAnsi="仿宋" w:eastAsia="仿宋" w:cs="仿宋"/>
                <w:color w:val="auto"/>
                <w:sz w:val="24"/>
                <w:szCs w:val="24"/>
                <w:highlight w:val="none"/>
                <w:lang w:val="en-US" w:eastAsia="zh-CN"/>
              </w:rPr>
              <w:t>16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0分，良得</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rPr>
              <w:t>分，一般得0-</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分。不提供不得分。</w:t>
            </w:r>
          </w:p>
        </w:tc>
      </w:tr>
      <w:tr w14:paraId="71A450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9" w:type="dxa"/>
            <w:vMerge w:val="continue"/>
            <w:tcBorders>
              <w:bottom w:val="single" w:color="auto" w:sz="4" w:space="0"/>
              <w:right w:val="single" w:color="auto" w:sz="4" w:space="0"/>
            </w:tcBorders>
          </w:tcPr>
          <w:p w14:paraId="775752A2">
            <w:pPr>
              <w:adjustRightInd w:val="0"/>
              <w:snapToGrid w:val="0"/>
              <w:rPr>
                <w:rFonts w:hint="eastAsia" w:ascii="仿宋" w:hAnsi="仿宋" w:eastAsia="仿宋" w:cs="仿宋"/>
                <w:color w:val="auto"/>
                <w:sz w:val="24"/>
                <w:szCs w:val="24"/>
                <w:highlight w:val="none"/>
              </w:rPr>
            </w:pPr>
          </w:p>
        </w:tc>
        <w:tc>
          <w:tcPr>
            <w:tcW w:w="1085" w:type="dxa"/>
            <w:vMerge w:val="continue"/>
            <w:tcBorders>
              <w:bottom w:val="single" w:color="auto" w:sz="4" w:space="0"/>
              <w:right w:val="single" w:color="auto" w:sz="4" w:space="0"/>
            </w:tcBorders>
          </w:tcPr>
          <w:p w14:paraId="1CFEC20A">
            <w:pPr>
              <w:adjustRightInd w:val="0"/>
              <w:snapToGrid w:val="0"/>
              <w:rPr>
                <w:rFonts w:hint="eastAsia" w:ascii="仿宋" w:hAnsi="仿宋" w:eastAsia="仿宋" w:cs="仿宋"/>
                <w:color w:val="auto"/>
                <w:sz w:val="24"/>
                <w:szCs w:val="24"/>
                <w:highlight w:val="none"/>
              </w:rPr>
            </w:pPr>
          </w:p>
        </w:tc>
        <w:tc>
          <w:tcPr>
            <w:tcW w:w="2317" w:type="dxa"/>
            <w:tcBorders>
              <w:top w:val="single" w:color="auto" w:sz="4" w:space="0"/>
              <w:left w:val="single" w:color="auto" w:sz="4" w:space="0"/>
              <w:bottom w:val="single" w:color="auto" w:sz="4" w:space="0"/>
              <w:right w:val="single" w:color="auto" w:sz="4" w:space="0"/>
            </w:tcBorders>
            <w:vAlign w:val="center"/>
          </w:tcPr>
          <w:p w14:paraId="3BA933A3">
            <w:pPr>
              <w:widowControl/>
              <w:adjustRightInd w:val="0"/>
              <w:snapToGrid w:val="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服务承诺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20分</w:t>
            </w:r>
            <w:r>
              <w:rPr>
                <w:rFonts w:hint="eastAsia" w:ascii="仿宋" w:hAnsi="仿宋" w:eastAsia="仿宋" w:cs="仿宋"/>
                <w:color w:val="auto"/>
                <w:sz w:val="24"/>
                <w:szCs w:val="24"/>
                <w:highlight w:val="none"/>
                <w:lang w:eastAsia="zh-CN"/>
              </w:rPr>
              <w:t>）</w:t>
            </w:r>
          </w:p>
        </w:tc>
        <w:tc>
          <w:tcPr>
            <w:tcW w:w="4536" w:type="dxa"/>
            <w:tcBorders>
              <w:top w:val="single" w:color="auto" w:sz="4" w:space="0"/>
              <w:left w:val="single" w:color="auto" w:sz="4" w:space="0"/>
              <w:bottom w:val="single" w:color="auto" w:sz="4" w:space="0"/>
              <w:right w:val="single" w:color="auto" w:sz="4" w:space="0"/>
            </w:tcBorders>
            <w:vAlign w:val="center"/>
          </w:tcPr>
          <w:p w14:paraId="35688FA3">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评委员会根据</w:t>
            </w:r>
            <w:r>
              <w:rPr>
                <w:rFonts w:hint="eastAsia" w:ascii="仿宋" w:hAnsi="仿宋" w:eastAsia="仿宋" w:cs="仿宋"/>
                <w:i w:val="0"/>
                <w:iCs w:val="0"/>
                <w:color w:val="auto"/>
                <w:sz w:val="24"/>
                <w:szCs w:val="24"/>
                <w:highlight w:val="none"/>
                <w:lang w:val="en-US" w:eastAsia="zh-CN"/>
              </w:rPr>
              <w:t>供应商</w:t>
            </w:r>
            <w:r>
              <w:rPr>
                <w:rFonts w:hint="eastAsia" w:ascii="仿宋" w:hAnsi="仿宋" w:eastAsia="仿宋" w:cs="仿宋"/>
                <w:color w:val="auto"/>
                <w:sz w:val="24"/>
                <w:szCs w:val="24"/>
                <w:highlight w:val="none"/>
              </w:rPr>
              <w:t>文件提供的服务承诺</w:t>
            </w:r>
            <w:r>
              <w:rPr>
                <w:rFonts w:hint="eastAsia" w:ascii="仿宋" w:hAnsi="仿宋" w:eastAsia="仿宋" w:cs="仿宋"/>
                <w:color w:val="auto"/>
                <w:sz w:val="24"/>
                <w:szCs w:val="24"/>
                <w:highlight w:val="none"/>
                <w:lang w:val="en-US" w:eastAsia="zh-CN"/>
              </w:rPr>
              <w:t>进行综合评审，包括但不限于对本项目采购需求的响应情况售后情况，应急</w:t>
            </w:r>
            <w:r>
              <w:rPr>
                <w:rFonts w:hint="eastAsia" w:ascii="仿宋" w:hAnsi="仿宋" w:eastAsia="仿宋" w:cs="仿宋"/>
                <w:color w:val="auto"/>
                <w:sz w:val="24"/>
                <w:szCs w:val="24"/>
                <w:highlight w:val="none"/>
              </w:rPr>
              <w:t>服务保证措施等情况，优得</w:t>
            </w:r>
            <w:r>
              <w:rPr>
                <w:rFonts w:hint="eastAsia" w:ascii="仿宋" w:hAnsi="仿宋" w:eastAsia="仿宋" w:cs="仿宋"/>
                <w:color w:val="auto"/>
                <w:sz w:val="24"/>
                <w:szCs w:val="24"/>
                <w:highlight w:val="none"/>
                <w:lang w:val="en-US" w:eastAsia="zh-CN"/>
              </w:rPr>
              <w:t>16-20</w:t>
            </w:r>
            <w:r>
              <w:rPr>
                <w:rFonts w:hint="eastAsia" w:ascii="仿宋" w:hAnsi="仿宋" w:eastAsia="仿宋" w:cs="仿宋"/>
                <w:color w:val="auto"/>
                <w:sz w:val="24"/>
                <w:szCs w:val="24"/>
                <w:highlight w:val="none"/>
              </w:rPr>
              <w:t>分，良得</w:t>
            </w:r>
            <w:r>
              <w:rPr>
                <w:rFonts w:hint="eastAsia" w:ascii="仿宋" w:hAnsi="仿宋" w:eastAsia="仿宋" w:cs="仿宋"/>
                <w:color w:val="auto"/>
                <w:sz w:val="24"/>
                <w:szCs w:val="24"/>
                <w:highlight w:val="none"/>
                <w:lang w:val="en-US" w:eastAsia="zh-CN"/>
              </w:rPr>
              <w:t>8-15</w:t>
            </w:r>
            <w:r>
              <w:rPr>
                <w:rFonts w:hint="eastAsia" w:ascii="仿宋" w:hAnsi="仿宋" w:eastAsia="仿宋" w:cs="仿宋"/>
                <w:color w:val="auto"/>
                <w:sz w:val="24"/>
                <w:szCs w:val="24"/>
                <w:highlight w:val="none"/>
              </w:rPr>
              <w:t>分，一般得</w:t>
            </w:r>
            <w:r>
              <w:rPr>
                <w:rFonts w:hint="eastAsia" w:ascii="仿宋" w:hAnsi="仿宋" w:eastAsia="仿宋" w:cs="仿宋"/>
                <w:color w:val="auto"/>
                <w:sz w:val="24"/>
                <w:szCs w:val="24"/>
                <w:highlight w:val="none"/>
                <w:lang w:val="en-US" w:eastAsia="zh-CN"/>
              </w:rPr>
              <w:t>0-7</w:t>
            </w:r>
            <w:r>
              <w:rPr>
                <w:rFonts w:hint="eastAsia" w:ascii="仿宋" w:hAnsi="仿宋" w:eastAsia="仿宋" w:cs="仿宋"/>
                <w:color w:val="auto"/>
                <w:sz w:val="24"/>
                <w:szCs w:val="24"/>
                <w:highlight w:val="none"/>
              </w:rPr>
              <w:t>分，不提供不得分。</w:t>
            </w:r>
          </w:p>
        </w:tc>
      </w:tr>
      <w:tr w14:paraId="52CCF3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9" w:type="dxa"/>
            <w:tcBorders>
              <w:top w:val="single" w:color="auto" w:sz="4" w:space="0"/>
              <w:left w:val="single" w:color="auto" w:sz="4" w:space="0"/>
              <w:bottom w:val="single" w:color="auto" w:sz="4" w:space="0"/>
              <w:right w:val="single" w:color="auto" w:sz="4" w:space="0"/>
            </w:tcBorders>
            <w:vAlign w:val="center"/>
          </w:tcPr>
          <w:p w14:paraId="3920F90C">
            <w:pPr>
              <w:adjustRightInd w:val="0"/>
              <w:snapToGrid w:val="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3.2（2）</w:t>
            </w:r>
          </w:p>
        </w:tc>
        <w:tc>
          <w:tcPr>
            <w:tcW w:w="1085" w:type="dxa"/>
            <w:tcBorders>
              <w:top w:val="single" w:color="auto" w:sz="4" w:space="0"/>
              <w:left w:val="single" w:color="auto" w:sz="4" w:space="0"/>
              <w:bottom w:val="single" w:color="auto" w:sz="4" w:space="0"/>
              <w:right w:val="single" w:color="auto" w:sz="4" w:space="0"/>
            </w:tcBorders>
            <w:vAlign w:val="center"/>
          </w:tcPr>
          <w:p w14:paraId="128AD0D1">
            <w:pPr>
              <w:adjustRightInd w:val="0"/>
              <w:snapToGrid w:val="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报价评审</w:t>
            </w:r>
          </w:p>
        </w:tc>
        <w:tc>
          <w:tcPr>
            <w:tcW w:w="2317" w:type="dxa"/>
            <w:tcBorders>
              <w:top w:val="single" w:color="auto" w:sz="4" w:space="0"/>
              <w:left w:val="single" w:color="auto" w:sz="4" w:space="0"/>
              <w:bottom w:val="single" w:color="auto" w:sz="4" w:space="0"/>
              <w:right w:val="single" w:color="auto" w:sz="4" w:space="0"/>
            </w:tcBorders>
            <w:vAlign w:val="center"/>
          </w:tcPr>
          <w:p w14:paraId="195A14C4">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lang w:val="en-US" w:eastAsia="zh-CN"/>
              </w:rPr>
              <w:t>报价评审（50分）</w:t>
            </w:r>
          </w:p>
        </w:tc>
        <w:tc>
          <w:tcPr>
            <w:tcW w:w="4536" w:type="dxa"/>
            <w:tcBorders>
              <w:top w:val="single" w:color="auto" w:sz="4" w:space="0"/>
              <w:left w:val="single" w:color="auto" w:sz="4" w:space="0"/>
              <w:bottom w:val="single" w:color="auto" w:sz="4" w:space="0"/>
              <w:right w:val="single" w:color="auto" w:sz="4" w:space="0"/>
            </w:tcBorders>
            <w:vAlign w:val="center"/>
          </w:tcPr>
          <w:p w14:paraId="54D49E71">
            <w:pPr>
              <w:adjustRightInd w:val="0"/>
              <w:snapToGrid w:val="0"/>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各供应商</w:t>
            </w:r>
            <w:r>
              <w:rPr>
                <w:rFonts w:hint="eastAsia" w:ascii="仿宋" w:hAnsi="仿宋" w:eastAsia="仿宋" w:cs="仿宋"/>
                <w:b w:val="0"/>
                <w:bCs/>
                <w:color w:val="auto"/>
                <w:sz w:val="24"/>
                <w:szCs w:val="24"/>
                <w:highlight w:val="none"/>
              </w:rPr>
              <w:t>响应报价得分＝（</w:t>
            </w:r>
            <w:r>
              <w:rPr>
                <w:rFonts w:hint="eastAsia" w:ascii="仿宋" w:hAnsi="仿宋" w:eastAsia="仿宋" w:cs="仿宋"/>
                <w:b w:val="0"/>
                <w:bCs/>
                <w:color w:val="auto"/>
                <w:sz w:val="24"/>
                <w:szCs w:val="24"/>
                <w:highlight w:val="none"/>
                <w:lang w:val="en-US" w:eastAsia="zh-CN"/>
              </w:rPr>
              <w:t>有效</w:t>
            </w:r>
            <w:r>
              <w:rPr>
                <w:rFonts w:hint="eastAsia" w:ascii="仿宋" w:hAnsi="仿宋" w:eastAsia="仿宋" w:cs="仿宋"/>
                <w:b w:val="0"/>
                <w:bCs/>
                <w:color w:val="auto"/>
                <w:sz w:val="24"/>
                <w:szCs w:val="24"/>
                <w:highlight w:val="none"/>
              </w:rPr>
              <w:t>响应</w:t>
            </w:r>
            <w:r>
              <w:rPr>
                <w:rFonts w:hint="eastAsia" w:ascii="仿宋" w:hAnsi="仿宋" w:eastAsia="仿宋" w:cs="仿宋"/>
                <w:b w:val="0"/>
                <w:bCs/>
                <w:color w:val="auto"/>
                <w:sz w:val="24"/>
                <w:szCs w:val="24"/>
                <w:highlight w:val="none"/>
                <w:lang w:val="en-US" w:eastAsia="zh-CN"/>
              </w:rPr>
              <w:t>最低</w:t>
            </w:r>
            <w:r>
              <w:rPr>
                <w:rFonts w:hint="eastAsia" w:ascii="仿宋" w:hAnsi="仿宋" w:eastAsia="仿宋" w:cs="仿宋"/>
                <w:b w:val="0"/>
                <w:bCs/>
                <w:color w:val="auto"/>
                <w:sz w:val="24"/>
                <w:szCs w:val="24"/>
                <w:highlight w:val="none"/>
              </w:rPr>
              <w:t>价/</w:t>
            </w:r>
            <w:r>
              <w:rPr>
                <w:rFonts w:hint="eastAsia" w:ascii="仿宋" w:hAnsi="仿宋" w:eastAsia="仿宋" w:cs="仿宋"/>
                <w:b w:val="0"/>
                <w:bCs/>
                <w:color w:val="auto"/>
                <w:sz w:val="24"/>
                <w:szCs w:val="24"/>
                <w:highlight w:val="none"/>
                <w:lang w:val="en-US" w:eastAsia="zh-CN"/>
              </w:rPr>
              <w:t>供应商</w:t>
            </w:r>
            <w:r>
              <w:rPr>
                <w:rFonts w:hint="eastAsia" w:ascii="仿宋" w:hAnsi="仿宋" w:eastAsia="仿宋" w:cs="仿宋"/>
                <w:b w:val="0"/>
                <w:bCs/>
                <w:color w:val="auto"/>
                <w:sz w:val="24"/>
                <w:szCs w:val="24"/>
                <w:highlight w:val="none"/>
              </w:rPr>
              <w:t>响应报价）×</w:t>
            </w:r>
            <w:r>
              <w:rPr>
                <w:rFonts w:hint="eastAsia" w:ascii="仿宋" w:hAnsi="仿宋" w:eastAsia="仿宋" w:cs="仿宋"/>
                <w:b w:val="0"/>
                <w:bCs/>
                <w:color w:val="auto"/>
                <w:sz w:val="24"/>
                <w:szCs w:val="24"/>
                <w:highlight w:val="none"/>
                <w:lang w:val="en-US" w:eastAsia="zh-CN"/>
              </w:rPr>
              <w:t>50</w:t>
            </w:r>
          </w:p>
          <w:p w14:paraId="40706EC5">
            <w:pPr>
              <w:adjustRightInd w:val="0"/>
              <w:snapToGrid w:val="0"/>
              <w:jc w:val="left"/>
              <w:rPr>
                <w:rFonts w:hint="eastAsia" w:ascii="仿宋" w:hAnsi="仿宋" w:eastAsia="仿宋" w:cs="仿宋"/>
                <w:b/>
                <w:color w:val="auto"/>
                <w:sz w:val="24"/>
                <w:szCs w:val="24"/>
                <w:highlight w:val="none"/>
              </w:rPr>
            </w:pPr>
            <w:r>
              <w:rPr>
                <w:rFonts w:hint="eastAsia" w:ascii="仿宋" w:hAnsi="仿宋" w:eastAsia="仿宋" w:cs="仿宋"/>
                <w:b w:val="0"/>
                <w:bCs/>
                <w:color w:val="auto"/>
                <w:sz w:val="24"/>
                <w:szCs w:val="24"/>
                <w:highlight w:val="none"/>
                <w:lang w:val="en-US" w:eastAsia="zh-CN"/>
              </w:rPr>
              <w:t>注：结果保留两位小数</w:t>
            </w:r>
          </w:p>
        </w:tc>
      </w:tr>
      <w:tr w14:paraId="09C9DD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794" w:type="dxa"/>
            <w:gridSpan w:val="2"/>
            <w:tcBorders>
              <w:top w:val="single" w:color="auto" w:sz="4" w:space="0"/>
              <w:left w:val="single" w:color="auto" w:sz="4" w:space="0"/>
              <w:bottom w:val="single" w:color="auto" w:sz="4" w:space="0"/>
              <w:right w:val="single" w:color="auto" w:sz="4" w:space="0"/>
            </w:tcBorders>
            <w:vAlign w:val="center"/>
          </w:tcPr>
          <w:p w14:paraId="475724C4">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条款号及名称</w:t>
            </w:r>
          </w:p>
        </w:tc>
        <w:tc>
          <w:tcPr>
            <w:tcW w:w="2317" w:type="dxa"/>
            <w:tcBorders>
              <w:top w:val="single" w:color="auto" w:sz="4" w:space="0"/>
              <w:left w:val="single" w:color="auto" w:sz="4" w:space="0"/>
              <w:bottom w:val="single" w:color="auto" w:sz="4" w:space="0"/>
              <w:right w:val="single" w:color="auto" w:sz="4" w:space="0"/>
            </w:tcBorders>
            <w:vAlign w:val="center"/>
          </w:tcPr>
          <w:p w14:paraId="0F3A6EE8">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条款内容</w:t>
            </w:r>
          </w:p>
        </w:tc>
        <w:tc>
          <w:tcPr>
            <w:tcW w:w="4536" w:type="dxa"/>
            <w:tcBorders>
              <w:top w:val="single" w:color="auto" w:sz="4" w:space="0"/>
              <w:left w:val="single" w:color="auto" w:sz="4" w:space="0"/>
              <w:bottom w:val="single" w:color="auto" w:sz="4" w:space="0"/>
              <w:right w:val="single" w:color="auto" w:sz="4" w:space="0"/>
            </w:tcBorders>
            <w:vAlign w:val="center"/>
          </w:tcPr>
          <w:p w14:paraId="27D58FE8">
            <w:pPr>
              <w:adjustRightInd w:val="0"/>
              <w:snapToGrid w:val="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编列内容</w:t>
            </w:r>
          </w:p>
        </w:tc>
      </w:tr>
      <w:tr w14:paraId="663B14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794" w:type="dxa"/>
            <w:gridSpan w:val="2"/>
            <w:tcBorders>
              <w:top w:val="single" w:color="auto" w:sz="4" w:space="0"/>
              <w:left w:val="single" w:color="auto" w:sz="4" w:space="0"/>
              <w:bottom w:val="single" w:color="auto" w:sz="4" w:space="0"/>
              <w:right w:val="single" w:color="auto" w:sz="4" w:space="0"/>
            </w:tcBorders>
            <w:vAlign w:val="center"/>
          </w:tcPr>
          <w:p w14:paraId="2CDC9E9A">
            <w:pPr>
              <w:adjustRightInd w:val="0"/>
              <w:snapToGrid w:val="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3</w:t>
            </w:r>
          </w:p>
        </w:tc>
        <w:tc>
          <w:tcPr>
            <w:tcW w:w="2317" w:type="dxa"/>
            <w:tcBorders>
              <w:top w:val="single" w:color="auto" w:sz="4" w:space="0"/>
              <w:left w:val="single" w:color="auto" w:sz="4" w:space="0"/>
              <w:bottom w:val="single" w:color="auto" w:sz="4" w:space="0"/>
              <w:right w:val="single" w:color="auto" w:sz="4" w:space="0"/>
            </w:tcBorders>
            <w:vAlign w:val="center"/>
          </w:tcPr>
          <w:p w14:paraId="66E85FE3">
            <w:pPr>
              <w:adjustRightInd w:val="0"/>
              <w:snapToGrid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供应商并列时确定供应商优先顺序的规则</w:t>
            </w:r>
          </w:p>
        </w:tc>
        <w:tc>
          <w:tcPr>
            <w:tcW w:w="4536" w:type="dxa"/>
            <w:tcBorders>
              <w:top w:val="single" w:color="auto" w:sz="4" w:space="0"/>
              <w:left w:val="single" w:color="auto" w:sz="4" w:space="0"/>
              <w:bottom w:val="single" w:color="auto" w:sz="4" w:space="0"/>
              <w:right w:val="single" w:color="auto" w:sz="4" w:space="0"/>
            </w:tcBorders>
            <w:vAlign w:val="center"/>
          </w:tcPr>
          <w:p w14:paraId="3C2861E7">
            <w:pPr>
              <w:adjustRightInd w:val="0"/>
              <w:snapToGrid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价低者优先，报价相同时，服务承诺分值高的优先，服务承诺分值相同时，由评审小组抽签决定。</w:t>
            </w:r>
          </w:p>
        </w:tc>
      </w:tr>
    </w:tbl>
    <w:p w14:paraId="25A6D679">
      <w:pPr>
        <w:widowControl/>
        <w:jc w:val="left"/>
        <w:rPr>
          <w:rFonts w:hint="eastAsia" w:ascii="仿宋" w:hAnsi="仿宋" w:eastAsia="仿宋" w:cs="仿宋"/>
          <w:b/>
          <w:color w:val="auto"/>
          <w:sz w:val="32"/>
          <w:szCs w:val="20"/>
          <w:highlight w:val="none"/>
        </w:rPr>
      </w:pPr>
    </w:p>
    <w:p w14:paraId="58C08D01">
      <w:pPr>
        <w:pStyle w:val="5"/>
        <w:rPr>
          <w:rFonts w:hint="eastAsia" w:ascii="仿宋" w:hAnsi="仿宋" w:eastAsia="仿宋" w:cs="仿宋"/>
          <w:color w:val="auto"/>
          <w:highlight w:val="none"/>
        </w:rPr>
      </w:pPr>
      <w:bookmarkStart w:id="247" w:name="_Toc21421"/>
      <w:r>
        <w:rPr>
          <w:rFonts w:hint="eastAsia" w:ascii="仿宋" w:hAnsi="仿宋" w:eastAsia="仿宋" w:cs="仿宋"/>
          <w:color w:val="auto"/>
          <w:highlight w:val="none"/>
        </w:rPr>
        <w:t>1. 评审方法</w:t>
      </w:r>
      <w:bookmarkEnd w:id="247"/>
    </w:p>
    <w:p w14:paraId="0AB83611">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本次评审采用综合评分法。评审小组对满足采购文件实质性要求的响应文件，按照本章第3条规定的评分标准进行打分，并按得分由高到低顺序推荐候选成交供应商。</w:t>
      </w:r>
    </w:p>
    <w:p w14:paraId="3C812684">
      <w:pPr>
        <w:pStyle w:val="5"/>
        <w:rPr>
          <w:rFonts w:hint="eastAsia" w:ascii="仿宋" w:hAnsi="仿宋" w:eastAsia="仿宋" w:cs="仿宋"/>
          <w:color w:val="auto"/>
          <w:highlight w:val="none"/>
        </w:rPr>
      </w:pPr>
      <w:bookmarkStart w:id="248" w:name="_Toc17364"/>
      <w:r>
        <w:rPr>
          <w:rFonts w:hint="eastAsia" w:ascii="仿宋" w:hAnsi="仿宋" w:eastAsia="仿宋" w:cs="仿宋"/>
          <w:color w:val="auto"/>
          <w:highlight w:val="none"/>
        </w:rPr>
        <w:t>2. 初步评审标准和程序</w:t>
      </w:r>
      <w:bookmarkEnd w:id="248"/>
    </w:p>
    <w:p w14:paraId="7DC7EA33">
      <w:pPr>
        <w:pStyle w:val="6"/>
        <w:spacing w:line="240" w:lineRule="auto"/>
        <w:ind w:firstLine="137"/>
        <w:rPr>
          <w:rFonts w:hint="eastAsia" w:ascii="仿宋" w:hAnsi="仿宋" w:eastAsia="仿宋" w:cs="仿宋"/>
          <w:color w:val="auto"/>
          <w:highlight w:val="none"/>
        </w:rPr>
      </w:pPr>
      <w:bookmarkStart w:id="249" w:name="_Toc13719"/>
      <w:r>
        <w:rPr>
          <w:rFonts w:hint="eastAsia" w:ascii="仿宋" w:hAnsi="仿宋" w:eastAsia="仿宋" w:cs="仿宋"/>
          <w:color w:val="auto"/>
          <w:highlight w:val="none"/>
        </w:rPr>
        <w:t>2.1 初步评审标准</w:t>
      </w:r>
      <w:bookmarkEnd w:id="249"/>
    </w:p>
    <w:p w14:paraId="5080FCE2">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2.1.1 形式评审标准：见</w:t>
      </w:r>
      <w:r>
        <w:rPr>
          <w:rFonts w:hint="eastAsia" w:ascii="仿宋" w:hAnsi="仿宋" w:eastAsia="仿宋" w:cs="仿宋"/>
          <w:iCs/>
          <w:color w:val="auto"/>
          <w:sz w:val="24"/>
          <w:szCs w:val="24"/>
          <w:highlight w:val="none"/>
        </w:rPr>
        <w:t>评审办法前附表</w:t>
      </w:r>
      <w:r>
        <w:rPr>
          <w:rFonts w:hint="eastAsia" w:ascii="仿宋" w:hAnsi="仿宋" w:eastAsia="仿宋" w:cs="仿宋"/>
          <w:color w:val="auto"/>
          <w:sz w:val="24"/>
          <w:szCs w:val="24"/>
          <w:highlight w:val="none"/>
        </w:rPr>
        <w:t>。</w:t>
      </w:r>
    </w:p>
    <w:p w14:paraId="324D6ED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2.1.2 资格评审标准：见</w:t>
      </w:r>
      <w:r>
        <w:rPr>
          <w:rFonts w:hint="eastAsia" w:ascii="仿宋" w:hAnsi="仿宋" w:eastAsia="仿宋" w:cs="仿宋"/>
          <w:iCs/>
          <w:color w:val="auto"/>
          <w:sz w:val="24"/>
          <w:szCs w:val="24"/>
          <w:highlight w:val="none"/>
        </w:rPr>
        <w:t>评审办法前附表</w:t>
      </w:r>
      <w:r>
        <w:rPr>
          <w:rFonts w:hint="eastAsia" w:ascii="仿宋" w:hAnsi="仿宋" w:eastAsia="仿宋" w:cs="仿宋"/>
          <w:color w:val="auto"/>
          <w:sz w:val="24"/>
          <w:szCs w:val="24"/>
          <w:highlight w:val="none"/>
        </w:rPr>
        <w:t>。</w:t>
      </w:r>
    </w:p>
    <w:p w14:paraId="46068E87">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2.1.3 响应性评审标准：见</w:t>
      </w:r>
      <w:r>
        <w:rPr>
          <w:rFonts w:hint="eastAsia" w:ascii="仿宋" w:hAnsi="仿宋" w:eastAsia="仿宋" w:cs="仿宋"/>
          <w:iCs/>
          <w:color w:val="auto"/>
          <w:sz w:val="24"/>
          <w:szCs w:val="24"/>
          <w:highlight w:val="none"/>
        </w:rPr>
        <w:t>评审办法前附表</w:t>
      </w:r>
      <w:r>
        <w:rPr>
          <w:rFonts w:hint="eastAsia" w:ascii="仿宋" w:hAnsi="仿宋" w:eastAsia="仿宋" w:cs="仿宋"/>
          <w:color w:val="auto"/>
          <w:sz w:val="24"/>
          <w:szCs w:val="24"/>
          <w:highlight w:val="none"/>
        </w:rPr>
        <w:t>。</w:t>
      </w:r>
    </w:p>
    <w:p w14:paraId="7D218FDA">
      <w:pPr>
        <w:pStyle w:val="6"/>
        <w:spacing w:line="240" w:lineRule="auto"/>
        <w:ind w:firstLine="137"/>
        <w:rPr>
          <w:rFonts w:hint="eastAsia" w:ascii="仿宋" w:hAnsi="仿宋" w:eastAsia="仿宋" w:cs="仿宋"/>
          <w:color w:val="auto"/>
          <w:highlight w:val="none"/>
        </w:rPr>
      </w:pPr>
      <w:bookmarkStart w:id="250" w:name="_Toc2389"/>
      <w:r>
        <w:rPr>
          <w:rFonts w:hint="eastAsia" w:ascii="仿宋" w:hAnsi="仿宋" w:eastAsia="仿宋" w:cs="仿宋"/>
          <w:color w:val="auto"/>
          <w:highlight w:val="none"/>
        </w:rPr>
        <w:t>2.2 初步评审程序</w:t>
      </w:r>
      <w:bookmarkEnd w:id="250"/>
    </w:p>
    <w:p w14:paraId="1A5A51CF">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2.2.1 评审小组依据本章第2.1款规定的标准对供应商递交的响应文件进行初步评审，判断响应文件的形式是否符合要求、供应商是否符合资格条件、响应文件是否实质性响应采购文件的要求。只有以上评审合格的响应文件才可通过初步评审。</w:t>
      </w:r>
    </w:p>
    <w:p w14:paraId="105072FE">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2.2.2 除评审办法前附表另有规定外。</w:t>
      </w:r>
    </w:p>
    <w:p w14:paraId="43D5F773">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2.2.3响应文件中有含义不明确、同类问题表述不一致或有明显文字和计算错误的内容，评审小组可要求供应商在规定时间内进行澄清、说明和补正。供应商澄清、说明和补正的内容应由法定代表人（单位负责人）或其授权的代理人签字或加盖单位章。澄清、说明和补正不得超出响应文件的范围且不得改变响应文件的实质性内容，并构成响应文件的组成部分。</w:t>
      </w:r>
    </w:p>
    <w:p w14:paraId="6536BB5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响应文件有算术错误及其他错误的，评审小组按以下原则要求供应商对响应报价进行修正，并要求供应商书面澄清确认。供应商拒不澄清确认的，其响应文件将被视为无效：</w:t>
      </w:r>
    </w:p>
    <w:p w14:paraId="129EE883">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（1）大写金额与小写金额不一致的，以大写金额为准；</w:t>
      </w:r>
    </w:p>
    <w:p w14:paraId="7CF22AEA">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（2）总价金额与单价金额不一致的以单价金额为准，但单价金额小数点有明显错误的除外；</w:t>
      </w:r>
    </w:p>
    <w:p w14:paraId="49F7525F">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（3）报价表合计报价与分项报价的合计不一致的，以各分项报价的合计累计数为准；</w:t>
      </w:r>
    </w:p>
    <w:p w14:paraId="06273A36">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（4）如果分项报价中存在缺漏项，且缺漏项内容不属于实质性偏差的，则视为缺漏项内容的价格已包含在其他分项报价之中。</w:t>
      </w:r>
    </w:p>
    <w:p w14:paraId="2135704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报价的算术错误修正不改变评审依据的响应总报价。当修正后的总报价高于原响应报价时，视同供应商响应报价错误产生少漏计费用，签订合同时由供应商承担，如评审小组认为供应商无法承受少漏计费用，可以将响应报价作为异常低价处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highlight w:val="none"/>
        </w:rPr>
        <w:t>响应文件将被视为无效；当修正后的总报价低于原响应报价时，签订合同时以修正后的报价为准。</w:t>
      </w:r>
    </w:p>
    <w:p w14:paraId="5C2EAD02">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2.2.4供应商有串通、弄虚作假、行贿等违法行为的，其响应文件将被视为无效。</w:t>
      </w:r>
    </w:p>
    <w:p w14:paraId="539C4B74">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2.2.5特殊情形处理</w:t>
      </w:r>
    </w:p>
    <w:p w14:paraId="7114DB87">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初步评审后，如评审小组认为所有响应文件均无效，或者所有响应报价竞争性不足，高于市场预期价格，评审小组应当终止评审，获经采购人同意，直接转换选择其他采购方式，与原供应商共同完成后续采购程序。</w:t>
      </w:r>
    </w:p>
    <w:p w14:paraId="022CE442">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选择直接转换采购方式采购的，评审小组按照本章第5条“直接转换采购方式评审程序”重新评审。除了采购人与供应商双方提出修改补充兵接受新的条件和要求外，原采购文件与原响应文件对采购人和供应商仍然具有相应约束力。</w:t>
      </w:r>
    </w:p>
    <w:p w14:paraId="7AC52E88">
      <w:pPr>
        <w:pStyle w:val="5"/>
        <w:rPr>
          <w:rFonts w:hint="eastAsia" w:ascii="仿宋" w:hAnsi="仿宋" w:eastAsia="仿宋" w:cs="仿宋"/>
          <w:color w:val="auto"/>
          <w:highlight w:val="none"/>
        </w:rPr>
      </w:pPr>
      <w:bookmarkStart w:id="251" w:name="_Toc1014"/>
      <w:r>
        <w:rPr>
          <w:rFonts w:hint="eastAsia" w:ascii="仿宋" w:hAnsi="仿宋" w:eastAsia="仿宋" w:cs="仿宋"/>
          <w:color w:val="auto"/>
          <w:highlight w:val="none"/>
        </w:rPr>
        <w:t>3. 详细评审标准和程序</w:t>
      </w:r>
      <w:bookmarkEnd w:id="251"/>
    </w:p>
    <w:p w14:paraId="093F9FD2">
      <w:pPr>
        <w:pStyle w:val="6"/>
        <w:spacing w:line="240" w:lineRule="auto"/>
        <w:ind w:firstLine="137"/>
        <w:rPr>
          <w:rFonts w:hint="eastAsia" w:ascii="仿宋" w:hAnsi="仿宋" w:eastAsia="仿宋" w:cs="仿宋"/>
          <w:color w:val="auto"/>
          <w:highlight w:val="none"/>
        </w:rPr>
      </w:pPr>
      <w:bookmarkStart w:id="252" w:name="_Toc8120"/>
      <w:r>
        <w:rPr>
          <w:rFonts w:hint="eastAsia" w:ascii="仿宋" w:hAnsi="仿宋" w:eastAsia="仿宋" w:cs="仿宋"/>
          <w:color w:val="auto"/>
          <w:highlight w:val="none"/>
        </w:rPr>
        <w:t>3.1 分值构成</w:t>
      </w:r>
      <w:bookmarkEnd w:id="252"/>
    </w:p>
    <w:p w14:paraId="67E787C9">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（1）商务技术部分：见评审办法前附表；</w:t>
      </w:r>
    </w:p>
    <w:p w14:paraId="2FFDFC42">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（2）报价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如有</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：见评审办法前附表；</w:t>
      </w:r>
    </w:p>
    <w:p w14:paraId="555185C4">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（4）其他评分因素：见评审办法前附表。</w:t>
      </w:r>
    </w:p>
    <w:p w14:paraId="65055546">
      <w:pPr>
        <w:pStyle w:val="6"/>
        <w:spacing w:line="240" w:lineRule="auto"/>
        <w:ind w:firstLine="137"/>
        <w:rPr>
          <w:rFonts w:hint="eastAsia" w:ascii="仿宋" w:hAnsi="仿宋" w:eastAsia="仿宋" w:cs="仿宋"/>
          <w:color w:val="auto"/>
          <w:highlight w:val="none"/>
          <w:lang w:eastAsia="zh-CN"/>
        </w:rPr>
      </w:pPr>
      <w:bookmarkStart w:id="253" w:name="_Toc8696"/>
      <w:r>
        <w:rPr>
          <w:rFonts w:hint="eastAsia" w:ascii="仿宋" w:hAnsi="仿宋" w:eastAsia="仿宋" w:cs="仿宋"/>
          <w:color w:val="auto"/>
          <w:highlight w:val="none"/>
        </w:rPr>
        <w:t>3.2 评审基准价计算</w:t>
      </w:r>
      <w:bookmarkEnd w:id="253"/>
    </w:p>
    <w:p w14:paraId="3957E207">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（1）评审价格：评审价格为按照本章第2.2.2项规定确定的价格。</w:t>
      </w:r>
    </w:p>
    <w:p w14:paraId="26171A1C">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（2）评审基准价计算方法：评审基准价计算方法的选择见评审办法前附表。</w:t>
      </w:r>
    </w:p>
    <w:p w14:paraId="350F5DEA">
      <w:pPr>
        <w:pStyle w:val="6"/>
        <w:spacing w:line="240" w:lineRule="auto"/>
        <w:ind w:firstLine="137"/>
        <w:rPr>
          <w:rFonts w:hint="eastAsia" w:ascii="仿宋" w:hAnsi="仿宋" w:eastAsia="仿宋" w:cs="仿宋"/>
          <w:color w:val="auto"/>
          <w:highlight w:val="none"/>
        </w:rPr>
      </w:pPr>
      <w:bookmarkStart w:id="254" w:name="_Toc29014"/>
      <w:r>
        <w:rPr>
          <w:rFonts w:hint="eastAsia" w:ascii="仿宋" w:hAnsi="仿宋" w:eastAsia="仿宋" w:cs="仿宋"/>
          <w:color w:val="auto"/>
          <w:highlight w:val="none"/>
        </w:rPr>
        <w:t>3.3评分标准</w:t>
      </w:r>
      <w:bookmarkEnd w:id="254"/>
    </w:p>
    <w:p w14:paraId="4B995F07">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（1）商务</w:t>
      </w:r>
      <w:r>
        <w:rPr>
          <w:rFonts w:hint="eastAsia" w:ascii="仿宋" w:hAnsi="仿宋" w:eastAsia="仿宋" w:cs="仿宋"/>
          <w:color w:val="auto"/>
          <w:sz w:val="24"/>
          <w:szCs w:val="24"/>
          <w:highlight w:val="none"/>
          <w:lang w:val="en-US" w:eastAsia="zh-CN"/>
        </w:rPr>
        <w:t>技术</w:t>
      </w:r>
      <w:r>
        <w:rPr>
          <w:rFonts w:hint="eastAsia" w:ascii="仿宋" w:hAnsi="仿宋" w:eastAsia="仿宋" w:cs="仿宋"/>
          <w:color w:val="auto"/>
          <w:sz w:val="24"/>
          <w:szCs w:val="24"/>
          <w:highlight w:val="none"/>
        </w:rPr>
        <w:t>评分标准：见</w:t>
      </w:r>
      <w:r>
        <w:rPr>
          <w:rFonts w:hint="eastAsia" w:ascii="仿宋" w:hAnsi="仿宋" w:eastAsia="仿宋" w:cs="仿宋"/>
          <w:iCs/>
          <w:color w:val="auto"/>
          <w:sz w:val="24"/>
          <w:szCs w:val="24"/>
          <w:highlight w:val="none"/>
        </w:rPr>
        <w:t>评审办法前附表</w:t>
      </w:r>
      <w:r>
        <w:rPr>
          <w:rFonts w:hint="eastAsia" w:ascii="仿宋" w:hAnsi="仿宋" w:eastAsia="仿宋" w:cs="仿宋"/>
          <w:color w:val="auto"/>
          <w:sz w:val="24"/>
          <w:szCs w:val="24"/>
          <w:highlight w:val="none"/>
        </w:rPr>
        <w:t>；</w:t>
      </w:r>
    </w:p>
    <w:p w14:paraId="51775E61">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（2）报价评分标准：见</w:t>
      </w:r>
      <w:r>
        <w:rPr>
          <w:rFonts w:hint="eastAsia" w:ascii="仿宋" w:hAnsi="仿宋" w:eastAsia="仿宋" w:cs="仿宋"/>
          <w:iCs/>
          <w:color w:val="auto"/>
          <w:sz w:val="24"/>
          <w:szCs w:val="24"/>
          <w:highlight w:val="none"/>
        </w:rPr>
        <w:t>评审办法前附表</w:t>
      </w:r>
      <w:r>
        <w:rPr>
          <w:rFonts w:hint="eastAsia" w:ascii="仿宋" w:hAnsi="仿宋" w:eastAsia="仿宋" w:cs="仿宋"/>
          <w:color w:val="auto"/>
          <w:sz w:val="24"/>
          <w:szCs w:val="24"/>
          <w:highlight w:val="none"/>
        </w:rPr>
        <w:t>；</w:t>
      </w:r>
    </w:p>
    <w:p w14:paraId="268309B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报价得分可采用如下方法计算：报价得分计算方法见评审办法前附表。</w:t>
      </w:r>
    </w:p>
    <w:p w14:paraId="6CAACAAF">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）其他因素评分标准：见</w:t>
      </w:r>
      <w:r>
        <w:rPr>
          <w:rFonts w:hint="eastAsia" w:ascii="仿宋" w:hAnsi="仿宋" w:eastAsia="仿宋" w:cs="仿宋"/>
          <w:iCs/>
          <w:color w:val="auto"/>
          <w:sz w:val="24"/>
          <w:szCs w:val="24"/>
          <w:highlight w:val="none"/>
        </w:rPr>
        <w:t>评审办法前附表</w:t>
      </w:r>
      <w:r>
        <w:rPr>
          <w:rFonts w:hint="eastAsia" w:ascii="仿宋" w:hAnsi="仿宋" w:eastAsia="仿宋" w:cs="仿宋"/>
          <w:color w:val="auto"/>
          <w:sz w:val="24"/>
          <w:szCs w:val="24"/>
          <w:highlight w:val="none"/>
        </w:rPr>
        <w:t>。</w:t>
      </w:r>
    </w:p>
    <w:p w14:paraId="4343EB8C">
      <w:pPr>
        <w:pStyle w:val="6"/>
        <w:spacing w:line="240" w:lineRule="auto"/>
        <w:ind w:firstLine="137"/>
        <w:rPr>
          <w:rFonts w:hint="eastAsia" w:ascii="仿宋" w:hAnsi="仿宋" w:eastAsia="仿宋" w:cs="仿宋"/>
          <w:color w:val="auto"/>
          <w:highlight w:val="none"/>
        </w:rPr>
      </w:pPr>
      <w:bookmarkStart w:id="255" w:name="_Toc15569"/>
      <w:r>
        <w:rPr>
          <w:rFonts w:hint="eastAsia" w:ascii="仿宋" w:hAnsi="仿宋" w:eastAsia="仿宋" w:cs="仿宋"/>
          <w:color w:val="auto"/>
          <w:highlight w:val="none"/>
        </w:rPr>
        <w:t>3.4评分</w:t>
      </w:r>
      <w:bookmarkEnd w:id="255"/>
    </w:p>
    <w:p w14:paraId="723027A1">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评审小组成员按照评分标准独立对供应商的商务技术进行评分。报价评分由评审小组统一计算。各项得分汇总后为该成员给供应商的评分总分。评分分值计算保留小数点后两位，小数点后第三位“四舍五入”。</w:t>
      </w:r>
    </w:p>
    <w:p w14:paraId="797D7302">
      <w:pPr>
        <w:pStyle w:val="6"/>
        <w:spacing w:line="240" w:lineRule="auto"/>
        <w:ind w:firstLine="137"/>
        <w:rPr>
          <w:rFonts w:hint="eastAsia" w:ascii="仿宋" w:hAnsi="仿宋" w:eastAsia="仿宋" w:cs="仿宋"/>
          <w:color w:val="auto"/>
          <w:highlight w:val="none"/>
        </w:rPr>
      </w:pPr>
      <w:bookmarkStart w:id="256" w:name="_Toc14799"/>
      <w:r>
        <w:rPr>
          <w:rFonts w:hint="eastAsia" w:ascii="仿宋" w:hAnsi="仿宋" w:eastAsia="仿宋" w:cs="仿宋"/>
          <w:color w:val="auto"/>
          <w:highlight w:val="none"/>
        </w:rPr>
        <w:t>3.5汇总</w:t>
      </w:r>
      <w:bookmarkEnd w:id="256"/>
    </w:p>
    <w:p w14:paraId="3B27085F">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评审小组汇总每个成员对供应商的评分总分，每个供应商的评分总分的算术平均值为供应商最终得分。</w:t>
      </w:r>
    </w:p>
    <w:p w14:paraId="70EF7D53">
      <w:pPr>
        <w:pStyle w:val="6"/>
        <w:spacing w:line="240" w:lineRule="auto"/>
        <w:ind w:firstLine="137"/>
        <w:rPr>
          <w:rFonts w:hint="eastAsia" w:ascii="仿宋" w:hAnsi="仿宋" w:eastAsia="仿宋" w:cs="仿宋"/>
          <w:color w:val="auto"/>
          <w:highlight w:val="none"/>
        </w:rPr>
      </w:pPr>
      <w:bookmarkStart w:id="257" w:name="_Toc16374"/>
      <w:r>
        <w:rPr>
          <w:rFonts w:hint="eastAsia" w:ascii="仿宋" w:hAnsi="仿宋" w:eastAsia="仿宋" w:cs="仿宋"/>
          <w:color w:val="auto"/>
          <w:highlight w:val="none"/>
        </w:rPr>
        <w:t>3.6排序</w:t>
      </w:r>
      <w:bookmarkEnd w:id="257"/>
    </w:p>
    <w:p w14:paraId="36E64FF4">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排序</w:t>
      </w:r>
      <w:r>
        <w:rPr>
          <w:rFonts w:hint="eastAsia" w:ascii="仿宋" w:hAnsi="仿宋" w:eastAsia="仿宋" w:cs="仿宋"/>
          <w:iCs/>
          <w:color w:val="auto"/>
          <w:sz w:val="24"/>
          <w:szCs w:val="24"/>
          <w:highlight w:val="none"/>
        </w:rPr>
        <w:t>办法</w:t>
      </w:r>
      <w:r>
        <w:rPr>
          <w:rFonts w:hint="eastAsia" w:ascii="仿宋" w:hAnsi="仿宋" w:eastAsia="仿宋" w:cs="仿宋"/>
          <w:iCs/>
          <w:color w:val="auto"/>
          <w:sz w:val="24"/>
          <w:szCs w:val="24"/>
          <w:highlight w:val="none"/>
          <w:lang w:val="en-US" w:eastAsia="zh-CN"/>
        </w:rPr>
        <w:t>见</w:t>
      </w:r>
      <w:r>
        <w:rPr>
          <w:rFonts w:hint="eastAsia" w:ascii="仿宋" w:hAnsi="仿宋" w:eastAsia="仿宋" w:cs="仿宋"/>
          <w:iCs/>
          <w:color w:val="auto"/>
          <w:sz w:val="24"/>
          <w:szCs w:val="24"/>
          <w:highlight w:val="none"/>
        </w:rPr>
        <w:t>前附表</w:t>
      </w:r>
      <w:r>
        <w:rPr>
          <w:rFonts w:hint="eastAsia" w:ascii="仿宋" w:hAnsi="仿宋" w:eastAsia="仿宋" w:cs="仿宋"/>
          <w:color w:val="auto"/>
          <w:sz w:val="24"/>
          <w:szCs w:val="24"/>
          <w:highlight w:val="none"/>
        </w:rPr>
        <w:t>。</w:t>
      </w:r>
    </w:p>
    <w:p w14:paraId="57758D80">
      <w:pPr>
        <w:pStyle w:val="6"/>
        <w:spacing w:line="240" w:lineRule="auto"/>
        <w:ind w:firstLine="137"/>
        <w:rPr>
          <w:rFonts w:hint="eastAsia" w:ascii="仿宋" w:hAnsi="仿宋" w:eastAsia="仿宋" w:cs="仿宋"/>
          <w:color w:val="auto"/>
          <w:highlight w:val="none"/>
        </w:rPr>
      </w:pPr>
      <w:bookmarkStart w:id="258" w:name="_Toc9170"/>
      <w:r>
        <w:rPr>
          <w:rFonts w:hint="eastAsia" w:ascii="仿宋" w:hAnsi="仿宋" w:eastAsia="仿宋" w:cs="仿宋"/>
          <w:color w:val="auto"/>
          <w:highlight w:val="none"/>
        </w:rPr>
        <w:t>3.7特殊情形处理</w:t>
      </w:r>
      <w:bookmarkEnd w:id="258"/>
    </w:p>
    <w:p w14:paraId="4C4AC554">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当通过初步评审的供应商数量未超过询比采购公告第1.6款规定的成交供应商数量、评审小组认为供应商的响应价格合理且物有所值时，不再进行详细评审，直接推荐上述供应商为候选成交供应商。</w:t>
      </w:r>
    </w:p>
    <w:p w14:paraId="31BBF3D3">
      <w:pPr>
        <w:pStyle w:val="5"/>
        <w:rPr>
          <w:rFonts w:hint="eastAsia" w:ascii="仿宋" w:hAnsi="仿宋" w:eastAsia="仿宋" w:cs="仿宋"/>
          <w:color w:val="auto"/>
          <w:highlight w:val="none"/>
        </w:rPr>
      </w:pPr>
      <w:bookmarkStart w:id="259" w:name="_Toc3131"/>
      <w:r>
        <w:rPr>
          <w:rFonts w:hint="eastAsia" w:ascii="仿宋" w:hAnsi="仿宋" w:eastAsia="仿宋" w:cs="仿宋"/>
          <w:color w:val="auto"/>
          <w:highlight w:val="none"/>
        </w:rPr>
        <w:t>4. 评审结果</w:t>
      </w:r>
      <w:bookmarkEnd w:id="259"/>
    </w:p>
    <w:p w14:paraId="1F6A1084">
      <w:pPr>
        <w:pStyle w:val="6"/>
        <w:spacing w:line="240" w:lineRule="auto"/>
        <w:ind w:firstLine="137"/>
        <w:rPr>
          <w:rFonts w:hint="eastAsia" w:ascii="仿宋" w:hAnsi="仿宋" w:eastAsia="仿宋" w:cs="仿宋"/>
          <w:color w:val="auto"/>
          <w:highlight w:val="none"/>
        </w:rPr>
      </w:pPr>
      <w:bookmarkStart w:id="260" w:name="_Toc29240"/>
      <w:r>
        <w:rPr>
          <w:rFonts w:hint="eastAsia" w:ascii="仿宋" w:hAnsi="仿宋" w:eastAsia="仿宋" w:cs="仿宋"/>
          <w:color w:val="auto"/>
          <w:highlight w:val="none"/>
        </w:rPr>
        <w:t>4.1 提交书面评审报告</w:t>
      </w:r>
      <w:bookmarkEnd w:id="260"/>
    </w:p>
    <w:p w14:paraId="6D6499C8">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评审小组完成评审后，应当向采购人提交书面评审报告。</w:t>
      </w:r>
    </w:p>
    <w:p w14:paraId="68F69B3D">
      <w:pPr>
        <w:pStyle w:val="6"/>
        <w:spacing w:line="240" w:lineRule="auto"/>
        <w:ind w:firstLine="137"/>
        <w:rPr>
          <w:rFonts w:hint="eastAsia" w:ascii="仿宋" w:hAnsi="仿宋" w:eastAsia="仿宋" w:cs="仿宋"/>
          <w:color w:val="auto"/>
          <w:highlight w:val="none"/>
        </w:rPr>
      </w:pPr>
      <w:bookmarkStart w:id="261" w:name="_Toc4359"/>
      <w:r>
        <w:rPr>
          <w:rFonts w:hint="eastAsia" w:ascii="仿宋" w:hAnsi="仿宋" w:eastAsia="仿宋" w:cs="仿宋"/>
          <w:color w:val="auto"/>
          <w:highlight w:val="none"/>
        </w:rPr>
        <w:t>4.2 推荐候选成交供应商排序要求及数量</w:t>
      </w:r>
      <w:bookmarkEnd w:id="261"/>
    </w:p>
    <w:p w14:paraId="46011523">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评审小组应在书面评审报告中按照供应商排列的优先顺序向采购人推荐候选成交供应商（排序或不排序）。候选成交供应商的排序要求及数量见</w:t>
      </w:r>
      <w:r>
        <w:rPr>
          <w:rFonts w:hint="eastAsia" w:ascii="仿宋" w:hAnsi="仿宋" w:eastAsia="仿宋" w:cs="仿宋"/>
          <w:iCs/>
          <w:color w:val="auto"/>
          <w:sz w:val="24"/>
          <w:szCs w:val="24"/>
          <w:highlight w:val="none"/>
        </w:rPr>
        <w:t>第二章“供应商须知”</w:t>
      </w:r>
      <w:r>
        <w:rPr>
          <w:rFonts w:hint="eastAsia" w:ascii="仿宋" w:hAnsi="仿宋" w:eastAsia="仿宋" w:cs="仿宋"/>
          <w:color w:val="auto"/>
          <w:sz w:val="24"/>
          <w:szCs w:val="24"/>
          <w:highlight w:val="none"/>
        </w:rPr>
        <w:t>。</w:t>
      </w:r>
    </w:p>
    <w:p w14:paraId="70A61746">
      <w:pPr>
        <w:pStyle w:val="5"/>
        <w:rPr>
          <w:rFonts w:hint="eastAsia" w:ascii="仿宋" w:hAnsi="仿宋" w:eastAsia="仿宋" w:cs="仿宋"/>
          <w:color w:val="auto"/>
          <w:highlight w:val="none"/>
        </w:rPr>
      </w:pPr>
      <w:bookmarkStart w:id="262" w:name="_Toc30457"/>
      <w:r>
        <w:rPr>
          <w:rFonts w:hint="eastAsia" w:ascii="仿宋" w:hAnsi="仿宋" w:eastAsia="仿宋" w:cs="仿宋"/>
          <w:color w:val="auto"/>
          <w:highlight w:val="none"/>
        </w:rPr>
        <w:t>5. 直接转换采购方式评审程序</w:t>
      </w:r>
      <w:bookmarkEnd w:id="262"/>
    </w:p>
    <w:p w14:paraId="1C7666EA">
      <w:pPr>
        <w:pStyle w:val="6"/>
        <w:spacing w:line="240" w:lineRule="auto"/>
        <w:ind w:firstLine="137"/>
        <w:rPr>
          <w:rFonts w:hint="eastAsia" w:ascii="仿宋" w:hAnsi="仿宋" w:eastAsia="仿宋" w:cs="仿宋"/>
          <w:color w:val="auto"/>
          <w:highlight w:val="none"/>
        </w:rPr>
      </w:pPr>
      <w:bookmarkStart w:id="263" w:name="_Toc8180"/>
      <w:r>
        <w:rPr>
          <w:rFonts w:hint="eastAsia" w:ascii="仿宋" w:hAnsi="仿宋" w:eastAsia="仿宋" w:cs="仿宋"/>
          <w:color w:val="auto"/>
          <w:highlight w:val="none"/>
        </w:rPr>
        <w:t>5.1 初步评审</w:t>
      </w:r>
      <w:bookmarkEnd w:id="263"/>
    </w:p>
    <w:p w14:paraId="559D2BF5">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5.1.1 评审小组依据本章第2.1款规定的标准对供应商递交的响应文件进行初步评审，判断响应文件的形式是否符合要求，供应商是否符合资格条件，响应文件是否实质性响应采购文件的要求。只有以上评审合格的响应文件才可通过初步评审。</w:t>
      </w:r>
    </w:p>
    <w:p w14:paraId="021B3818">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5.1.2 响应文件的形式或供应商资格不符合采购文件的要求、响应文件未实质性响应采购文件的要求，或响应文件中有含义不明确、同类问题表述不一致或有明显文字和计算错误的内容，评审小组应要求供应商在规定时间内进行澄清、说明和补正。供应商澄清、说明和补正的内容应由法定代表人（单位负责人）或其授权的代理人签字或加盖单位章。澄清、说明和补正的内容作为响应文件的组成部分。</w:t>
      </w:r>
    </w:p>
    <w:p w14:paraId="45C94AF1">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5.1.3 只有形式评审和资格评审合格且实质性响应采购文件要求的供应商才可通过初步评审。经供应商澄清、说明和补正后仍未通过初步评审的响应文件将被视为无效，评审小组应告知有关供应商。</w:t>
      </w:r>
    </w:p>
    <w:p w14:paraId="477DEA68">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5.1.4 当通过初步评审的供应商数量大于询比采购公告第1.</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款规定的成交供应商数量时，可以改为参照谈判方式继续评审选择成交供应商。</w:t>
      </w:r>
    </w:p>
    <w:p w14:paraId="1FEB822E">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当通过初步评审的供应商数量等于询比采购公告第1.</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款规定的成交供应商数量时，可以改为参照直接采购方式继续评审选择成交供应商。</w:t>
      </w:r>
    </w:p>
    <w:p w14:paraId="78CA0719">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当询比采购公告第1.</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款选择多家成交供应商时，通过初步评审的供应商数量小于约定成交供应商数量且大于等于一家的，可以改为参照直接采购方式继续评审选择一部分成交供应商，或者终止全部采购，重新组织采购选择选择全部成交供应商。</w:t>
      </w:r>
    </w:p>
    <w:p w14:paraId="7A763325">
      <w:pPr>
        <w:spacing w:line="400" w:lineRule="exact"/>
        <w:ind w:firstLine="480" w:firstLineChars="200"/>
        <w:rPr>
          <w:rFonts w:hint="eastAsia" w:ascii="仿宋" w:hAnsi="仿宋" w:eastAsia="仿宋" w:cs="仿宋"/>
          <w:color w:val="auto"/>
          <w:highlight w:val="none"/>
        </w:rPr>
      </w:pPr>
      <w:r>
        <w:rPr>
          <w:rFonts w:hint="eastAsia" w:ascii="仿宋" w:hAnsi="仿宋" w:eastAsia="仿宋" w:cs="仿宋"/>
          <w:color w:val="auto"/>
          <w:sz w:val="24"/>
          <w:szCs w:val="24"/>
          <w:highlight w:val="none"/>
        </w:rPr>
        <w:t>初步评审后，当所有响应文件均无效时，应重新组织采购。</w:t>
      </w:r>
    </w:p>
    <w:p w14:paraId="5A24242B">
      <w:pPr>
        <w:pStyle w:val="6"/>
        <w:spacing w:line="240" w:lineRule="auto"/>
        <w:ind w:firstLine="137"/>
        <w:rPr>
          <w:rFonts w:hint="eastAsia" w:ascii="仿宋" w:hAnsi="仿宋" w:eastAsia="仿宋" w:cs="仿宋"/>
          <w:color w:val="auto"/>
          <w:highlight w:val="none"/>
        </w:rPr>
      </w:pPr>
      <w:bookmarkStart w:id="264" w:name="_Toc28353"/>
      <w:r>
        <w:rPr>
          <w:rFonts w:hint="eastAsia" w:ascii="仿宋" w:hAnsi="仿宋" w:eastAsia="仿宋" w:cs="仿宋"/>
          <w:color w:val="auto"/>
          <w:highlight w:val="none"/>
        </w:rPr>
        <w:t>5.2 转换采购方式</w:t>
      </w:r>
      <w:bookmarkEnd w:id="264"/>
    </w:p>
    <w:p w14:paraId="3FEE6DCA">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5.2.1 参照谈判采购方式评审</w:t>
      </w:r>
    </w:p>
    <w:p w14:paraId="696D8513">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（1）谈判。</w:t>
      </w:r>
    </w:p>
    <w:p w14:paraId="3A0A7F1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评审小组应按照供应商递交响应文件的顺序或评审小组抽签确定的顺序与通过初步评审的供应商逐一进行谈判。评审小组可以根据谈判情况决定谈判轮次，并给予所有参加谈判的供应商平等的谈判机会。在谈判过程中，评审小组可根据谈判情况修改和补充采购文件中的非实质性内容，但不得改变评审标准或可能影响初步评审结果的内容。</w:t>
      </w:r>
    </w:p>
    <w:p w14:paraId="6CC23CE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2）供应商的法定代表人（单位负责人）或其授权的代理人应参加谈判。供应商的法定代表人（单位负责人）或其授权的代理人在谈判中作出的承诺构成响应文件的组成部分。</w:t>
      </w:r>
    </w:p>
    <w:p w14:paraId="6D86B68C">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谈判结束后，评审小组将要求所有参加谈判的供应商在规定时间内递交最终报价。最终报价应由供应商的法定代表人（单位负责人）或其授权的代理人签字或加盖单位章。最终报价是供应商响应文件的组成部分。</w:t>
      </w:r>
    </w:p>
    <w:p w14:paraId="528148CA">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（2）公开开启最终报价。</w:t>
      </w:r>
    </w:p>
    <w:p w14:paraId="14CB9091">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评审小组将在递交最终报价的截止时间公开开启最终报价，供应商未派代表参加开启会议的，视为默认开启结果。</w:t>
      </w:r>
    </w:p>
    <w:p w14:paraId="64E936C5">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（3）详细评审。</w:t>
      </w:r>
    </w:p>
    <w:p w14:paraId="5092984A">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小组将按本章第3条规定对响应文件及其最终报价进行详细评审。采用综合评分法的，评审小组有权对本章第3.2款规定的评审基准价和第3.3（3）项规定的报价评分标准进行调整，但评审小组应在谈判开始前向供应商公布，未公布的，视为评审基准价和报价评分标准不作调整；详细评审标准中除报价评审标准外的其他评审标准不作调整。</w:t>
      </w:r>
    </w:p>
    <w:p w14:paraId="7D70FE55">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通过谈判后，评审小组认为所有供应商的最终报价仍然不合理的，应向采购人提出终止采购建议。</w:t>
      </w:r>
    </w:p>
    <w:p w14:paraId="636B7BB1">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（4）编写评审报告。</w:t>
      </w:r>
    </w:p>
    <w:p w14:paraId="660DDFB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评审小组按本章第4.2款规定推荐候选成交供应商或按本章第5.2.1（3）项规定提出终止采购建议，并向采购人提交书面评审报告。</w:t>
      </w:r>
    </w:p>
    <w:p w14:paraId="4CCB3285">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5.2.2 参照直接采购方式评审</w:t>
      </w:r>
    </w:p>
    <w:p w14:paraId="2D842C5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（1）谈判.</w:t>
      </w:r>
    </w:p>
    <w:p w14:paraId="29103857">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小组所有成员集中与供应商进行谈判，供应商的法定代表人（单位负责人）或其授权的代理人应参加谈判。在谈判过程中，评审小组可根据谈判情况修改和补充采购文件的非实质性内容，但不得改变可能影响初步评审结果的内容。供应商的法定代表人（单位负责人）或其授权的代理人在谈判中作出的承诺构成响应文件的组成部分。评审小组可根据需要，安排多轮谈判。</w:t>
      </w:r>
    </w:p>
    <w:p w14:paraId="4F549947">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（2）详细评审。</w:t>
      </w:r>
    </w:p>
    <w:p w14:paraId="2B7AEA4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评审小组通过对采购成本、供应能力、风险管控、采购目标等的分析，对供应商拟提供标的的技术、商务进行物有所值综合评价。</w:t>
      </w:r>
    </w:p>
    <w:p w14:paraId="2615AD10">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（3）编写评审报告。</w:t>
      </w:r>
    </w:p>
    <w:p w14:paraId="60D63B03">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评审小组根据预期的谈判目标综合谈判纪要编写评审报告，推荐候选成交供应商或提出谈判终止建议。</w:t>
      </w:r>
    </w:p>
    <w:p w14:paraId="0D65210A">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38E66DA1">
      <w:pPr>
        <w:rPr>
          <w:rFonts w:hint="eastAsia" w:ascii="仿宋" w:hAnsi="仿宋" w:eastAsia="仿宋" w:cs="仿宋"/>
          <w:color w:val="auto"/>
          <w:highlight w:val="none"/>
        </w:rPr>
      </w:pPr>
    </w:p>
    <w:bookmarkEnd w:id="244"/>
    <w:p w14:paraId="17E2F47E">
      <w:pPr>
        <w:pStyle w:val="4"/>
        <w:widowControl/>
        <w:numPr>
          <w:ilvl w:val="0"/>
          <w:numId w:val="0"/>
        </w:numPr>
        <w:spacing w:before="0" w:after="0" w:line="240" w:lineRule="auto"/>
        <w:jc w:val="center"/>
        <w:rPr>
          <w:rFonts w:hint="eastAsia" w:ascii="仿宋" w:hAnsi="仿宋" w:eastAsia="仿宋" w:cs="仿宋"/>
          <w:color w:val="auto"/>
          <w:highlight w:val="none"/>
        </w:rPr>
      </w:pPr>
      <w:bookmarkStart w:id="265" w:name="_Toc22160"/>
      <w:bookmarkStart w:id="266" w:name="_Toc466024582"/>
      <w:bookmarkStart w:id="267" w:name="_Toc529209266"/>
      <w:bookmarkStart w:id="268" w:name="_Toc19186"/>
      <w:bookmarkStart w:id="269" w:name="_Toc445554783"/>
      <w:r>
        <w:rPr>
          <w:rFonts w:hint="eastAsia" w:ascii="仿宋" w:hAnsi="仿宋" w:eastAsia="仿宋" w:cs="仿宋"/>
          <w:color w:val="auto"/>
          <w:highlight w:val="none"/>
          <w:lang w:val="en-US" w:eastAsia="zh-CN"/>
        </w:rPr>
        <w:t>第四章</w:t>
      </w:r>
      <w:r>
        <w:rPr>
          <w:rFonts w:hint="eastAsia" w:ascii="仿宋" w:hAnsi="仿宋" w:eastAsia="仿宋" w:cs="仿宋"/>
          <w:color w:val="auto"/>
          <w:highlight w:val="none"/>
        </w:rPr>
        <w:t xml:space="preserve"> </w:t>
      </w:r>
      <w:bookmarkStart w:id="270" w:name="_Toc24553"/>
      <w:r>
        <w:rPr>
          <w:rFonts w:hint="eastAsia" w:ascii="仿宋" w:hAnsi="仿宋" w:eastAsia="仿宋" w:cs="仿宋"/>
          <w:color w:val="auto"/>
          <w:highlight w:val="none"/>
        </w:rPr>
        <w:t>合同条款及格式</w:t>
      </w:r>
      <w:bookmarkEnd w:id="265"/>
      <w:bookmarkEnd w:id="266"/>
      <w:bookmarkEnd w:id="267"/>
      <w:bookmarkEnd w:id="268"/>
      <w:bookmarkEnd w:id="269"/>
      <w:bookmarkEnd w:id="270"/>
    </w:p>
    <w:p w14:paraId="704AFD21">
      <w:pPr>
        <w:rPr>
          <w:rFonts w:hint="eastAsia" w:ascii="仿宋" w:hAnsi="仿宋" w:eastAsia="仿宋" w:cs="仿宋"/>
          <w:color w:val="auto"/>
          <w:highlight w:val="none"/>
        </w:rPr>
      </w:pPr>
    </w:p>
    <w:p w14:paraId="36C06C22">
      <w:pPr>
        <w:pStyle w:val="5"/>
        <w:spacing w:before="0" w:after="0" w:line="360" w:lineRule="auto"/>
        <w:jc w:val="center"/>
        <w:rPr>
          <w:rFonts w:hint="eastAsia" w:ascii="楷体" w:hAnsi="楷体" w:eastAsia="楷体" w:cs="楷体"/>
          <w:i w:val="0"/>
          <w:iCs/>
          <w:color w:val="auto"/>
          <w:kern w:val="2"/>
          <w:sz w:val="24"/>
          <w:szCs w:val="24"/>
          <w:highlight w:val="none"/>
          <w:u w:val="none"/>
          <w:lang w:val="en-US" w:eastAsia="zh-CN" w:bidi="ar-SA"/>
        </w:rPr>
      </w:pPr>
      <w:bookmarkStart w:id="271" w:name="_Toc149"/>
      <w:bookmarkStart w:id="272" w:name="_Toc12895"/>
      <w:bookmarkStart w:id="273" w:name="_Toc5006"/>
      <w:bookmarkStart w:id="274" w:name="_Toc18259"/>
      <w:bookmarkStart w:id="275" w:name="_Toc15928646"/>
      <w:bookmarkStart w:id="276" w:name="_Toc28927"/>
      <w:bookmarkStart w:id="277" w:name="_Toc20014"/>
      <w:bookmarkStart w:id="278" w:name="_Toc151393471"/>
      <w:bookmarkStart w:id="279" w:name="_Toc17575"/>
      <w:bookmarkStart w:id="280" w:name="_Toc18101"/>
      <w:bookmarkStart w:id="281" w:name="_Toc11647"/>
      <w:bookmarkStart w:id="282" w:name="_Toc26576"/>
      <w:bookmarkStart w:id="283" w:name="_Toc26781085"/>
      <w:bookmarkStart w:id="284" w:name="_Toc24489"/>
      <w:bookmarkStart w:id="285" w:name="_Toc29241"/>
      <w:r>
        <w:rPr>
          <w:rFonts w:hint="eastAsia" w:ascii="楷体" w:hAnsi="楷体" w:eastAsia="楷体" w:cs="楷体"/>
          <w:i w:val="0"/>
          <w:iCs/>
          <w:color w:val="auto"/>
          <w:kern w:val="2"/>
          <w:sz w:val="24"/>
          <w:szCs w:val="24"/>
          <w:highlight w:val="none"/>
          <w:u w:val="none"/>
          <w:lang w:val="en-US" w:eastAsia="zh-CN" w:bidi="ar-SA"/>
        </w:rPr>
        <w:t>（仅供参考，可以实际合同签约模板为准）</w:t>
      </w:r>
    </w:p>
    <w:p w14:paraId="5B852DC4">
      <w:pPr>
        <w:pStyle w:val="5"/>
        <w:spacing w:before="0" w:after="0" w:line="360" w:lineRule="auto"/>
        <w:jc w:val="center"/>
        <w:rPr>
          <w:rFonts w:ascii="Times New Roman" w:hAnsi="Times New Roman" w:eastAsia="仿宋"/>
          <w:color w:val="auto"/>
          <w:sz w:val="28"/>
          <w:szCs w:val="28"/>
          <w:highlight w:val="none"/>
        </w:rPr>
      </w:pPr>
      <w:r>
        <w:rPr>
          <w:rFonts w:ascii="Times New Roman" w:hAnsi="Times New Roman" w:eastAsia="仿宋"/>
          <w:color w:val="auto"/>
          <w:sz w:val="28"/>
          <w:szCs w:val="28"/>
          <w:highlight w:val="none"/>
        </w:rPr>
        <w:t>第一节</w:t>
      </w:r>
      <w:r>
        <w:rPr>
          <w:rFonts w:hint="eastAsia" w:ascii="Times New Roman" w:hAnsi="Times New Roman" w:eastAsia="仿宋"/>
          <w:color w:val="auto"/>
          <w:sz w:val="28"/>
          <w:szCs w:val="28"/>
          <w:highlight w:val="none"/>
        </w:rPr>
        <w:t xml:space="preserve">  </w:t>
      </w:r>
      <w:r>
        <w:rPr>
          <w:rFonts w:ascii="Times New Roman" w:hAnsi="Times New Roman" w:eastAsia="仿宋"/>
          <w:color w:val="auto"/>
          <w:sz w:val="28"/>
          <w:szCs w:val="28"/>
          <w:highlight w:val="none"/>
        </w:rPr>
        <w:t>合同条款</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7A6B9AC9">
      <w:pPr>
        <w:ind w:firstLine="480" w:firstLineChars="200"/>
        <w:rPr>
          <w:rFonts w:hint="default" w:ascii="仿宋" w:hAnsi="仿宋" w:eastAsia="仿宋" w:cs="仿宋"/>
          <w:color w:val="auto"/>
          <w:highlight w:val="none"/>
          <w:lang w:val="en-US"/>
        </w:rPr>
      </w:pPr>
      <w:r>
        <w:rPr>
          <w:rFonts w:hint="eastAsia" w:ascii="仿宋" w:hAnsi="仿宋" w:eastAsia="仿宋" w:cs="仿宋"/>
          <w:color w:val="auto"/>
          <w:sz w:val="24"/>
          <w:szCs w:val="24"/>
          <w:highlight w:val="none"/>
        </w:rPr>
        <w:t>以“*”符号标记</w:t>
      </w:r>
      <w:r>
        <w:rPr>
          <w:rFonts w:hint="eastAsia" w:ascii="仿宋" w:hAnsi="仿宋" w:eastAsia="仿宋" w:cs="仿宋"/>
          <w:color w:val="auto"/>
          <w:sz w:val="24"/>
          <w:szCs w:val="24"/>
          <w:highlight w:val="none"/>
          <w:lang w:val="en-US" w:eastAsia="zh-CN"/>
        </w:rPr>
        <w:t>的合同条款为关键条款，</w:t>
      </w:r>
      <w:r>
        <w:rPr>
          <w:rFonts w:hint="eastAsia" w:ascii="仿宋" w:hAnsi="仿宋" w:eastAsia="仿宋" w:cs="仿宋"/>
          <w:color w:val="auto"/>
          <w:sz w:val="24"/>
          <w:szCs w:val="24"/>
          <w:highlight w:val="none"/>
        </w:rPr>
        <w:t>响应文件应当对合同</w:t>
      </w:r>
      <w:r>
        <w:rPr>
          <w:rFonts w:hint="eastAsia" w:ascii="仿宋" w:hAnsi="仿宋" w:eastAsia="仿宋" w:cs="仿宋"/>
          <w:color w:val="auto"/>
          <w:sz w:val="24"/>
          <w:szCs w:val="24"/>
          <w:highlight w:val="none"/>
          <w:lang w:val="en-US" w:eastAsia="zh-CN"/>
        </w:rPr>
        <w:t>条款</w:t>
      </w:r>
      <w:r>
        <w:rPr>
          <w:rFonts w:hint="eastAsia" w:ascii="仿宋" w:hAnsi="仿宋" w:eastAsia="仿宋" w:cs="仿宋"/>
          <w:color w:val="auto"/>
          <w:sz w:val="24"/>
          <w:szCs w:val="24"/>
          <w:highlight w:val="none"/>
        </w:rPr>
        <w:t>中的关键条款作出满足性或更有利于</w:t>
      </w:r>
      <w:r>
        <w:rPr>
          <w:rFonts w:hint="eastAsia" w:ascii="仿宋" w:hAnsi="仿宋" w:eastAsia="仿宋" w:cs="仿宋"/>
          <w:color w:val="auto"/>
          <w:sz w:val="24"/>
          <w:szCs w:val="24"/>
          <w:highlight w:val="none"/>
          <w:lang w:val="en-US" w:eastAsia="zh-CN"/>
        </w:rPr>
        <w:t>采购人</w:t>
      </w:r>
      <w:r>
        <w:rPr>
          <w:rFonts w:hint="eastAsia" w:ascii="仿宋" w:hAnsi="仿宋" w:eastAsia="仿宋" w:cs="仿宋"/>
          <w:color w:val="auto"/>
          <w:sz w:val="24"/>
          <w:szCs w:val="24"/>
          <w:highlight w:val="none"/>
        </w:rPr>
        <w:t>的响应，否则，</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文件将被</w:t>
      </w:r>
      <w:r>
        <w:rPr>
          <w:rFonts w:hint="eastAsia" w:ascii="仿宋" w:hAnsi="仿宋" w:eastAsia="仿宋" w:cs="仿宋"/>
          <w:color w:val="auto"/>
          <w:sz w:val="24"/>
          <w:szCs w:val="24"/>
          <w:highlight w:val="none"/>
          <w:lang w:val="en-US" w:eastAsia="zh-CN"/>
        </w:rPr>
        <w:t>视为无效</w:t>
      </w:r>
    </w:p>
    <w:p w14:paraId="77D90887">
      <w:pPr>
        <w:spacing w:line="360" w:lineRule="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甲方：</w:t>
      </w:r>
      <w:r>
        <w:rPr>
          <w:rFonts w:hint="eastAsia" w:ascii="仿宋" w:hAnsi="仿宋" w:eastAsia="仿宋" w:cs="仿宋"/>
          <w:color w:val="auto"/>
          <w:sz w:val="24"/>
          <w:szCs w:val="24"/>
          <w:highlight w:val="none"/>
          <w:u w:val="single"/>
        </w:rPr>
        <w:t xml:space="preserve">                </w:t>
      </w:r>
    </w:p>
    <w:p w14:paraId="6AD1ED6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w:t>
      </w:r>
      <w:r>
        <w:rPr>
          <w:rFonts w:hint="eastAsia" w:ascii="仿宋" w:hAnsi="仿宋" w:eastAsia="仿宋" w:cs="仿宋"/>
          <w:color w:val="auto"/>
          <w:sz w:val="24"/>
          <w:szCs w:val="24"/>
          <w:highlight w:val="none"/>
          <w:u w:val="single"/>
        </w:rPr>
        <w:t xml:space="preserve">                </w:t>
      </w:r>
    </w:p>
    <w:p w14:paraId="55DC4335">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（甲方）就</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（项目名称）采用</w:t>
      </w:r>
      <w:r>
        <w:rPr>
          <w:rFonts w:hint="eastAsia" w:ascii="仿宋" w:hAnsi="仿宋" w:eastAsia="仿宋" w:cs="仿宋"/>
          <w:color w:val="auto"/>
          <w:sz w:val="24"/>
          <w:szCs w:val="24"/>
          <w:highlight w:val="none"/>
          <w:lang w:val="en-US" w:eastAsia="zh-CN"/>
        </w:rPr>
        <w:t>询比</w:t>
      </w:r>
      <w:r>
        <w:rPr>
          <w:rFonts w:hint="eastAsia" w:ascii="仿宋" w:hAnsi="仿宋" w:eastAsia="仿宋" w:cs="仿宋"/>
          <w:color w:val="auto"/>
          <w:sz w:val="24"/>
          <w:szCs w:val="24"/>
          <w:highlight w:val="none"/>
        </w:rPr>
        <w:t>的方式选择</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（乙方）作为服务单位。现甲乙双方协商同意签订本合同。</w:t>
      </w:r>
    </w:p>
    <w:p w14:paraId="5358F1E0">
      <w:pPr>
        <w:pStyle w:val="6"/>
        <w:numPr>
          <w:ilvl w:val="0"/>
          <w:numId w:val="1"/>
        </w:numPr>
        <w:rPr>
          <w:rFonts w:hint="eastAsia" w:ascii="仿宋" w:hAnsi="仿宋" w:eastAsia="仿宋" w:cs="仿宋"/>
          <w:color w:val="auto"/>
          <w:highlight w:val="none"/>
          <w:lang w:eastAsia="zh-CN"/>
        </w:rPr>
      </w:pPr>
      <w:bookmarkStart w:id="286" w:name="_Toc25182"/>
      <w:bookmarkStart w:id="287" w:name="_Toc5925"/>
      <w:bookmarkStart w:id="288" w:name="_Toc8412"/>
      <w:r>
        <w:rPr>
          <w:rFonts w:hint="eastAsia" w:ascii="仿宋" w:hAnsi="仿宋" w:eastAsia="仿宋" w:cs="仿宋"/>
          <w:color w:val="auto"/>
          <w:highlight w:val="none"/>
          <w:lang w:eastAsia="zh-CN"/>
        </w:rPr>
        <w:t>合同文件</w:t>
      </w:r>
      <w:bookmarkEnd w:id="286"/>
      <w:bookmarkEnd w:id="287"/>
      <w:bookmarkEnd w:id="288"/>
    </w:p>
    <w:p w14:paraId="3215C2DC">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下列与本次</w:t>
      </w:r>
      <w:r>
        <w:rPr>
          <w:rFonts w:hint="eastAsia" w:ascii="仿宋" w:hAnsi="仿宋" w:eastAsia="仿宋" w:cs="仿宋"/>
          <w:color w:val="auto"/>
          <w:sz w:val="24"/>
          <w:szCs w:val="24"/>
          <w:highlight w:val="none"/>
          <w:lang w:val="en-US" w:eastAsia="zh-CN"/>
        </w:rPr>
        <w:t>询比</w:t>
      </w:r>
      <w:r>
        <w:rPr>
          <w:rFonts w:hint="eastAsia" w:ascii="仿宋" w:hAnsi="仿宋" w:eastAsia="仿宋" w:cs="仿宋"/>
          <w:color w:val="auto"/>
          <w:sz w:val="24"/>
          <w:szCs w:val="24"/>
          <w:highlight w:val="none"/>
        </w:rPr>
        <w:t>采购活动有关的文件及附件是本合同不可分割的组成部分，与本合同具有同等法律效力，这些文件包括但不限于：</w:t>
      </w:r>
    </w:p>
    <w:p w14:paraId="40807C3F">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）本合同及其补充合同、变更协议；</w:t>
      </w:r>
    </w:p>
    <w:p w14:paraId="02738390">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）成交通知书；</w:t>
      </w:r>
    </w:p>
    <w:p w14:paraId="4706681D">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文件及附件（含澄清或者修改文件）；</w:t>
      </w:r>
    </w:p>
    <w:p w14:paraId="2030000D">
      <w:pPr>
        <w:snapToGrid w:val="0"/>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文件及附件（含澄清或者说明文件）</w:t>
      </w:r>
      <w:r>
        <w:rPr>
          <w:rFonts w:hint="eastAsia" w:ascii="仿宋" w:hAnsi="仿宋" w:eastAsia="仿宋" w:cs="仿宋"/>
          <w:color w:val="auto"/>
          <w:sz w:val="24"/>
          <w:szCs w:val="24"/>
          <w:highlight w:val="none"/>
          <w:lang w:val="en-US" w:eastAsia="zh-CN"/>
        </w:rPr>
        <w:t>;</w:t>
      </w:r>
    </w:p>
    <w:p w14:paraId="3B56C199">
      <w:pPr>
        <w:snapToGrid w:val="0"/>
        <w:spacing w:line="360" w:lineRule="auto"/>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其他合同文件。</w:t>
      </w:r>
    </w:p>
    <w:p w14:paraId="02B0F51C">
      <w:pPr>
        <w:snapToGrid w:val="0"/>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上述合同文件互相补充和解释。如果合同文件之间存在矛盾或不一致之处，以上述文件的排列顺序在先者为准。</w:t>
      </w:r>
    </w:p>
    <w:p w14:paraId="6CFB707E">
      <w:pPr>
        <w:pStyle w:val="6"/>
        <w:rPr>
          <w:rFonts w:hint="eastAsia" w:ascii="仿宋" w:hAnsi="仿宋" w:eastAsia="仿宋" w:cs="仿宋"/>
          <w:color w:val="auto"/>
          <w:highlight w:val="none"/>
          <w:lang w:eastAsia="zh-CN"/>
        </w:rPr>
      </w:pPr>
      <w:bookmarkStart w:id="289" w:name="_Toc15733"/>
      <w:bookmarkStart w:id="290" w:name="_Toc13822"/>
      <w:bookmarkStart w:id="291" w:name="_Toc13852"/>
      <w:r>
        <w:rPr>
          <w:rFonts w:hint="eastAsia" w:ascii="仿宋" w:hAnsi="仿宋" w:eastAsia="仿宋" w:cs="仿宋"/>
          <w:color w:val="auto"/>
          <w:highlight w:val="none"/>
          <w:lang w:eastAsia="zh-CN"/>
        </w:rPr>
        <w:t>2. 合同范围</w:t>
      </w:r>
      <w:bookmarkEnd w:id="289"/>
      <w:bookmarkEnd w:id="290"/>
      <w:bookmarkEnd w:id="291"/>
    </w:p>
    <w:p w14:paraId="6C57C5A5">
      <w:pPr>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甲方委托乙方提供以下服务： </w:t>
      </w:r>
    </w:p>
    <w:p w14:paraId="69F89F57">
      <w:pPr>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 服务名称：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7D92D90C">
      <w:pPr>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 服务内容：</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2B67CFC6">
      <w:pPr>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 服务要求：</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24F4451A">
      <w:pPr>
        <w:tabs>
          <w:tab w:val="left" w:pos="8987"/>
        </w:tabs>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 服务期限：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2D55D9D5">
      <w:pPr>
        <w:tabs>
          <w:tab w:val="left" w:pos="8987"/>
        </w:tabs>
        <w:adjustRightInd w:val="0"/>
        <w:snapToGrid w:val="0"/>
        <w:spacing w:line="360" w:lineRule="auto"/>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 w:val="24"/>
          <w:szCs w:val="24"/>
          <w:highlight w:val="none"/>
          <w:lang w:val="en-US" w:eastAsia="zh-CN"/>
        </w:rPr>
        <w:t xml:space="preserve">2.5 </w:t>
      </w:r>
      <w:r>
        <w:rPr>
          <w:rFonts w:hint="eastAsia" w:ascii="仿宋" w:hAnsi="仿宋" w:eastAsia="仿宋" w:cs="仿宋"/>
          <w:color w:val="auto"/>
          <w:sz w:val="24"/>
          <w:szCs w:val="24"/>
          <w:highlight w:val="none"/>
        </w:rPr>
        <w:t>服务</w:t>
      </w:r>
      <w:r>
        <w:rPr>
          <w:rFonts w:hint="eastAsia" w:ascii="仿宋" w:hAnsi="仿宋" w:eastAsia="仿宋" w:cs="仿宋"/>
          <w:color w:val="auto"/>
          <w:sz w:val="24"/>
          <w:szCs w:val="24"/>
          <w:highlight w:val="none"/>
          <w:lang w:val="en-US" w:eastAsia="zh-CN"/>
        </w:rPr>
        <w:t>质量</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ab/>
      </w:r>
    </w:p>
    <w:p w14:paraId="017969F4">
      <w:pPr>
        <w:pStyle w:val="6"/>
        <w:rPr>
          <w:rFonts w:hint="eastAsia" w:ascii="仿宋" w:hAnsi="仿宋" w:eastAsia="仿宋" w:cs="仿宋"/>
          <w:color w:val="auto"/>
          <w:highlight w:val="none"/>
          <w:lang w:eastAsia="zh-CN"/>
        </w:rPr>
      </w:pPr>
      <w:bookmarkStart w:id="292" w:name="_Toc4265"/>
      <w:bookmarkStart w:id="293" w:name="_Toc20813"/>
      <w:bookmarkStart w:id="294" w:name="_Toc23879"/>
      <w:r>
        <w:rPr>
          <w:rFonts w:hint="eastAsia" w:ascii="仿宋" w:hAnsi="仿宋" w:eastAsia="仿宋" w:cs="仿宋"/>
          <w:color w:val="auto"/>
          <w:highlight w:val="none"/>
          <w:lang w:eastAsia="zh-CN"/>
        </w:rPr>
        <w:t>3. 合同价格</w:t>
      </w:r>
      <w:bookmarkEnd w:id="292"/>
      <w:bookmarkEnd w:id="293"/>
      <w:bookmarkEnd w:id="294"/>
    </w:p>
    <w:p w14:paraId="7A456FCC">
      <w:pPr>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 合同价格为（大写）：</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元（￥</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元）人民币。</w:t>
      </w:r>
    </w:p>
    <w:p w14:paraId="48280277">
      <w:pPr>
        <w:snapToGrid w:val="0"/>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3.2 合同价格包括的内容：</w:t>
      </w:r>
      <w:r>
        <w:rPr>
          <w:rFonts w:hint="eastAsia" w:ascii="仿宋" w:hAnsi="仿宋" w:eastAsia="仿宋" w:cs="仿宋"/>
          <w:color w:val="auto"/>
          <w:sz w:val="24"/>
          <w:szCs w:val="24"/>
          <w:highlight w:val="none"/>
          <w:u w:val="single"/>
        </w:rPr>
        <w:t xml:space="preserve">                       </w:t>
      </w:r>
    </w:p>
    <w:p w14:paraId="35EBF518">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 合同价格</w:t>
      </w:r>
      <w:r>
        <w:rPr>
          <w:rFonts w:hint="eastAsia" w:ascii="仿宋" w:hAnsi="仿宋" w:eastAsia="仿宋" w:cs="仿宋"/>
          <w:color w:val="auto"/>
          <w:sz w:val="24"/>
          <w:szCs w:val="24"/>
          <w:highlight w:val="none"/>
          <w:lang w:val="en-US" w:eastAsia="zh-CN"/>
        </w:rPr>
        <w:t>形式</w:t>
      </w:r>
      <w:r>
        <w:rPr>
          <w:rFonts w:hint="eastAsia" w:ascii="仿宋" w:hAnsi="仿宋" w:eastAsia="仿宋" w:cs="仿宋"/>
          <w:color w:val="auto"/>
          <w:sz w:val="24"/>
          <w:szCs w:val="24"/>
          <w:highlight w:val="none"/>
        </w:rPr>
        <w:t>：</w:t>
      </w:r>
      <w:r>
        <w:rPr>
          <w:rFonts w:hint="eastAsia" w:ascii="Times New Roman" w:hAnsi="Times New Roman" w:eastAsia="仿宋"/>
          <w:bCs/>
          <w:color w:val="auto"/>
          <w:sz w:val="24"/>
          <w:szCs w:val="24"/>
          <w:highlight w:val="none"/>
          <w:u w:val="single"/>
        </w:rPr>
        <w:t xml:space="preserve">  □固定价格  </w:t>
      </w:r>
      <w:r>
        <w:rPr>
          <w:rFonts w:hint="eastAsia" w:ascii="Times New Roman" w:hAnsi="Times New Roman" w:eastAsia="仿宋"/>
          <w:bCs/>
          <w:color w:val="auto"/>
          <w:sz w:val="24"/>
          <w:szCs w:val="24"/>
          <w:highlight w:val="none"/>
          <w:u w:val="single"/>
          <w:lang w:eastAsia="zh-CN"/>
        </w:rPr>
        <w:t>□</w:t>
      </w:r>
      <w:r>
        <w:rPr>
          <w:rFonts w:hint="eastAsia" w:ascii="Times New Roman" w:hAnsi="Times New Roman" w:eastAsia="仿宋"/>
          <w:bCs/>
          <w:color w:val="auto"/>
          <w:sz w:val="24"/>
          <w:szCs w:val="24"/>
          <w:highlight w:val="none"/>
          <w:u w:val="single"/>
        </w:rPr>
        <w:t xml:space="preserve">可调价格 </w:t>
      </w:r>
      <w:r>
        <w:rPr>
          <w:rFonts w:hint="eastAsia" w:ascii="仿宋" w:hAnsi="仿宋" w:eastAsia="仿宋" w:cs="仿宋"/>
          <w:color w:val="auto"/>
          <w:sz w:val="24"/>
          <w:szCs w:val="24"/>
          <w:highlight w:val="none"/>
        </w:rPr>
        <w:t>。</w:t>
      </w:r>
    </w:p>
    <w:p w14:paraId="0E974947">
      <w:pPr>
        <w:snapToGrid w:val="0"/>
        <w:spacing w:line="360" w:lineRule="auto"/>
        <w:ind w:firstLine="480" w:firstLineChars="200"/>
        <w:rPr>
          <w:rFonts w:hint="eastAsia" w:ascii="Times New Roman" w:hAnsi="Times New Roman" w:eastAsia="仿宋"/>
          <w:bCs/>
          <w:color w:val="auto"/>
          <w:sz w:val="24"/>
          <w:szCs w:val="24"/>
          <w:highlight w:val="none"/>
        </w:rPr>
      </w:pPr>
      <w:r>
        <w:rPr>
          <w:rFonts w:hint="eastAsia" w:ascii="Times New Roman" w:hAnsi="Times New Roman" w:eastAsia="仿宋"/>
          <w:bCs/>
          <w:color w:val="auto"/>
          <w:sz w:val="24"/>
          <w:szCs w:val="24"/>
          <w:highlight w:val="none"/>
        </w:rPr>
        <w:t>采用可调价格合同时，采用以下方式对合同价格进行调整：</w:t>
      </w:r>
    </w:p>
    <w:p w14:paraId="12855A7C">
      <w:pPr>
        <w:snapToGrid w:val="0"/>
        <w:spacing w:line="360" w:lineRule="auto"/>
        <w:ind w:firstLine="480" w:firstLineChars="200"/>
        <w:rPr>
          <w:rFonts w:hint="default" w:ascii="Times New Roman" w:hAnsi="Times New Roman" w:eastAsia="仿宋"/>
          <w:bCs/>
          <w:color w:val="auto"/>
          <w:sz w:val="24"/>
          <w:szCs w:val="24"/>
          <w:highlight w:val="none"/>
          <w:u w:val="single"/>
          <w:lang w:val="en-US" w:eastAsia="zh-CN"/>
        </w:rPr>
      </w:pPr>
      <w:r>
        <w:rPr>
          <w:rFonts w:hint="eastAsia" w:ascii="Times New Roman" w:hAnsi="Times New Roman" w:eastAsia="仿宋"/>
          <w:bCs/>
          <w:color w:val="auto"/>
          <w:sz w:val="24"/>
          <w:szCs w:val="24"/>
          <w:highlight w:val="none"/>
          <w:u w:val="single"/>
          <w:lang w:val="en-US" w:eastAsia="zh-CN"/>
        </w:rPr>
        <w:t xml:space="preserve">                                    </w:t>
      </w:r>
    </w:p>
    <w:p w14:paraId="2C387CE2">
      <w:pPr>
        <w:pStyle w:val="6"/>
        <w:rPr>
          <w:rFonts w:hint="eastAsia" w:ascii="仿宋" w:hAnsi="仿宋" w:eastAsia="仿宋" w:cs="仿宋"/>
          <w:color w:val="auto"/>
          <w:highlight w:val="none"/>
          <w:lang w:eastAsia="zh-CN"/>
        </w:rPr>
      </w:pPr>
      <w:bookmarkStart w:id="295" w:name="_Toc28510"/>
      <w:bookmarkStart w:id="296" w:name="_Toc29363"/>
      <w:bookmarkStart w:id="297" w:name="_Toc11704"/>
      <w:r>
        <w:rPr>
          <w:rFonts w:hint="eastAsia" w:ascii="仿宋" w:hAnsi="仿宋" w:eastAsia="仿宋" w:cs="仿宋"/>
          <w:color w:val="auto"/>
          <w:highlight w:val="none"/>
          <w:lang w:eastAsia="zh-CN"/>
        </w:rPr>
        <w:t>4. 付款方式</w:t>
      </w:r>
      <w:bookmarkEnd w:id="295"/>
      <w:bookmarkEnd w:id="296"/>
      <w:bookmarkEnd w:id="297"/>
    </w:p>
    <w:p w14:paraId="336C9895">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 本合同项下所有款项均以人民币支付。</w:t>
      </w:r>
    </w:p>
    <w:p w14:paraId="677B666C">
      <w:pPr>
        <w:snapToGrid w:val="0"/>
        <w:spacing w:line="360" w:lineRule="auto"/>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4.2 预付款</w:t>
      </w:r>
    </w:p>
    <w:p w14:paraId="269347BD">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合同生效后，</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在收到</w:t>
      </w:r>
      <w:r>
        <w:rPr>
          <w:rFonts w:hint="eastAsia" w:ascii="仿宋" w:hAnsi="仿宋" w:eastAsia="仿宋" w:cs="仿宋"/>
          <w:color w:val="auto"/>
          <w:sz w:val="24"/>
          <w:szCs w:val="24"/>
          <w:highlight w:val="none"/>
          <w:lang w:val="en-US" w:eastAsia="zh-CN"/>
        </w:rPr>
        <w:t>乙</w:t>
      </w:r>
      <w:r>
        <w:rPr>
          <w:rFonts w:hint="eastAsia" w:ascii="仿宋" w:hAnsi="仿宋" w:eastAsia="仿宋" w:cs="仿宋"/>
          <w:color w:val="auto"/>
          <w:sz w:val="24"/>
          <w:szCs w:val="24"/>
          <w:highlight w:val="none"/>
        </w:rPr>
        <w:t>方</w:t>
      </w:r>
      <w:r>
        <w:rPr>
          <w:rFonts w:hint="eastAsia" w:ascii="仿宋" w:hAnsi="仿宋" w:eastAsia="仿宋" w:cs="仿宋"/>
          <w:color w:val="auto"/>
          <w:sz w:val="24"/>
          <w:szCs w:val="24"/>
          <w:highlight w:val="none"/>
          <w:lang w:val="zh-CN"/>
        </w:rPr>
        <w:t>开具的注明应付预付款金额的财务收据正本一份</w:t>
      </w:r>
      <w:r>
        <w:rPr>
          <w:rFonts w:hint="eastAsia" w:ascii="仿宋" w:hAnsi="仿宋" w:eastAsia="仿宋" w:cs="仿宋"/>
          <w:color w:val="auto"/>
          <w:sz w:val="24"/>
          <w:szCs w:val="24"/>
          <w:highlight w:val="none"/>
        </w:rPr>
        <w:t>并经审核无误后28日内，向</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支付签约合同价的</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%作为预付款。</w:t>
      </w:r>
    </w:p>
    <w:p w14:paraId="2DA319AE">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甲</w:t>
      </w:r>
      <w:r>
        <w:rPr>
          <w:rFonts w:hint="eastAsia" w:ascii="仿宋" w:hAnsi="仿宋" w:eastAsia="仿宋" w:cs="仿宋"/>
          <w:color w:val="auto"/>
          <w:sz w:val="24"/>
          <w:szCs w:val="24"/>
          <w:highlight w:val="none"/>
        </w:rPr>
        <w:t>方支付预付款后，如</w:t>
      </w:r>
      <w:r>
        <w:rPr>
          <w:rFonts w:hint="eastAsia" w:ascii="仿宋" w:hAnsi="仿宋" w:eastAsia="仿宋" w:cs="仿宋"/>
          <w:color w:val="auto"/>
          <w:sz w:val="24"/>
          <w:szCs w:val="24"/>
          <w:highlight w:val="none"/>
          <w:lang w:val="en-US" w:eastAsia="zh-CN"/>
        </w:rPr>
        <w:t>乙</w:t>
      </w:r>
      <w:r>
        <w:rPr>
          <w:rFonts w:hint="eastAsia" w:ascii="仿宋" w:hAnsi="仿宋" w:eastAsia="仿宋" w:cs="仿宋"/>
          <w:color w:val="auto"/>
          <w:sz w:val="24"/>
          <w:szCs w:val="24"/>
          <w:highlight w:val="none"/>
        </w:rPr>
        <w:t>方未履行合同义务，则</w:t>
      </w:r>
      <w:r>
        <w:rPr>
          <w:rFonts w:hint="eastAsia" w:ascii="仿宋" w:hAnsi="仿宋" w:eastAsia="仿宋" w:cs="仿宋"/>
          <w:color w:val="auto"/>
          <w:sz w:val="24"/>
          <w:szCs w:val="24"/>
          <w:highlight w:val="none"/>
          <w:lang w:val="en-US" w:eastAsia="zh-CN"/>
        </w:rPr>
        <w:t>甲</w:t>
      </w:r>
      <w:r>
        <w:rPr>
          <w:rFonts w:hint="eastAsia" w:ascii="仿宋" w:hAnsi="仿宋" w:eastAsia="仿宋" w:cs="仿宋"/>
          <w:color w:val="auto"/>
          <w:sz w:val="24"/>
          <w:szCs w:val="24"/>
          <w:highlight w:val="none"/>
        </w:rPr>
        <w:t>方有权收回预付款；如</w:t>
      </w:r>
      <w:r>
        <w:rPr>
          <w:rFonts w:hint="eastAsia" w:ascii="仿宋" w:hAnsi="仿宋" w:eastAsia="仿宋" w:cs="仿宋"/>
          <w:color w:val="auto"/>
          <w:sz w:val="24"/>
          <w:szCs w:val="24"/>
          <w:highlight w:val="none"/>
          <w:lang w:val="en-US" w:eastAsia="zh-CN"/>
        </w:rPr>
        <w:t>乙</w:t>
      </w:r>
      <w:r>
        <w:rPr>
          <w:rFonts w:hint="eastAsia" w:ascii="仿宋" w:hAnsi="仿宋" w:eastAsia="仿宋" w:cs="仿宋"/>
          <w:color w:val="auto"/>
          <w:sz w:val="24"/>
          <w:szCs w:val="24"/>
          <w:highlight w:val="none"/>
        </w:rPr>
        <w:t>方依约履行了合同义务，则预付款抵作进度款。</w:t>
      </w:r>
    </w:p>
    <w:p w14:paraId="2B92DAEF">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 xml:space="preserve"> 乙方向甲方提交下列文件材料，经甲方审核无误后</w:t>
      </w:r>
      <w:r>
        <w:rPr>
          <w:rFonts w:ascii="Times New Roman" w:hAnsi="Times New Roman" w:eastAsia="仿宋"/>
          <w:color w:val="auto"/>
          <w:kern w:val="0"/>
          <w:sz w:val="24"/>
          <w:szCs w:val="24"/>
          <w:highlight w:val="none"/>
        </w:rPr>
        <w:t>28日内</w:t>
      </w:r>
      <w:r>
        <w:rPr>
          <w:rFonts w:hint="eastAsia" w:ascii="仿宋" w:hAnsi="仿宋" w:eastAsia="仿宋" w:cs="仿宋"/>
          <w:color w:val="auto"/>
          <w:sz w:val="24"/>
          <w:szCs w:val="24"/>
          <w:highlight w:val="none"/>
        </w:rPr>
        <w:t>支付</w:t>
      </w:r>
      <w:r>
        <w:rPr>
          <w:rFonts w:hint="eastAsia" w:ascii="仿宋" w:hAnsi="仿宋" w:eastAsia="仿宋" w:cs="仿宋"/>
          <w:color w:val="auto"/>
          <w:sz w:val="24"/>
          <w:szCs w:val="24"/>
          <w:highlight w:val="none"/>
          <w:lang w:val="en-US" w:eastAsia="zh-CN"/>
        </w:rPr>
        <w:t>进度款项</w:t>
      </w:r>
      <w:r>
        <w:rPr>
          <w:rFonts w:hint="eastAsia" w:ascii="仿宋" w:hAnsi="仿宋" w:eastAsia="仿宋" w:cs="仿宋"/>
          <w:color w:val="auto"/>
          <w:sz w:val="24"/>
          <w:szCs w:val="24"/>
          <w:highlight w:val="none"/>
        </w:rPr>
        <w:t>：</w:t>
      </w:r>
    </w:p>
    <w:p w14:paraId="30B45125">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（1）合同</w:t>
      </w:r>
      <w:r>
        <w:rPr>
          <w:rFonts w:hint="eastAsia" w:ascii="仿宋" w:hAnsi="仿宋" w:eastAsia="仿宋" w:cs="仿宋"/>
          <w:color w:val="auto"/>
          <w:sz w:val="24"/>
          <w:szCs w:val="24"/>
          <w:highlight w:val="none"/>
          <w:lang w:val="en-US" w:eastAsia="zh-CN"/>
        </w:rPr>
        <w:t>款项</w:t>
      </w:r>
      <w:r>
        <w:rPr>
          <w:rFonts w:hint="eastAsia" w:ascii="仿宋" w:hAnsi="仿宋" w:eastAsia="仿宋" w:cs="仿宋"/>
          <w:color w:val="auto"/>
          <w:sz w:val="24"/>
          <w:szCs w:val="24"/>
          <w:highlight w:val="none"/>
        </w:rPr>
        <w:t>100%金额的增值税发票正本一份；</w:t>
      </w:r>
    </w:p>
    <w:p w14:paraId="040C58A6">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（2）经甲乙双方确认签订的《验收报告》（或按项目进度阶段性《验收报告》）；</w:t>
      </w:r>
    </w:p>
    <w:p w14:paraId="37C48CFF">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（3）其他材料。</w:t>
      </w:r>
    </w:p>
    <w:p w14:paraId="75D068C9">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 xml:space="preserve"> 合同款项的支付进度以</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文件的有关规定为准。如</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文件未作特别规定，则付款进度应符合如下约定：</w:t>
      </w:r>
    </w:p>
    <w:p w14:paraId="15B3587E">
      <w:pPr>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（1）第一次付款额应为合同价格的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（%），甲方应在乙方已经准备好，并递交了约定的服务成果文件及其它相关文件，而这些报告和文件符合合同附件上的要求并被甲方验收后付给乙方。 </w:t>
      </w:r>
    </w:p>
    <w:p w14:paraId="53B22A1C">
      <w:pPr>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（2）最后一次付款额应为合同价格的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（%），甲方应在乙方递交了最终服务成果文件及其它相关文件并完全履行合同完毕</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日内付给乙方。 </w:t>
      </w:r>
    </w:p>
    <w:p w14:paraId="30FFFAE2">
      <w:pPr>
        <w:pStyle w:val="6"/>
        <w:rPr>
          <w:rFonts w:hint="eastAsia" w:ascii="仿宋" w:hAnsi="仿宋" w:eastAsia="仿宋" w:cs="仿宋"/>
          <w:color w:val="auto"/>
          <w:highlight w:val="none"/>
          <w:lang w:eastAsia="zh-CN"/>
        </w:rPr>
      </w:pPr>
      <w:bookmarkStart w:id="298" w:name="_Toc28052"/>
      <w:bookmarkStart w:id="299" w:name="_Toc4764"/>
      <w:bookmarkStart w:id="300" w:name="_Toc5958"/>
      <w:r>
        <w:rPr>
          <w:rFonts w:hint="eastAsia" w:ascii="仿宋" w:hAnsi="仿宋" w:eastAsia="仿宋" w:cs="仿宋"/>
          <w:color w:val="auto"/>
          <w:highlight w:val="none"/>
          <w:lang w:eastAsia="zh-CN"/>
        </w:rPr>
        <w:t>5. 合同文件和资料的使用</w:t>
      </w:r>
      <w:bookmarkEnd w:id="298"/>
      <w:bookmarkEnd w:id="299"/>
      <w:bookmarkEnd w:id="300"/>
    </w:p>
    <w:p w14:paraId="6BC6CDE9">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 没有甲方书面同意，乙方不得将甲方或代表甲方提供的有关合同或任何合同条文、技术规格和要求、计划、图纸、模型、样品或资料提供给与履行本合同无关的任何其他人。即使向与履行本合同有关的人员提供，也应注意保密并限于履行合同必须的范围。</w:t>
      </w:r>
    </w:p>
    <w:p w14:paraId="2CF87A11">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 没有甲方书面同意，除了履行本合同外，乙方不应使用合同条款第3.1款所列举的任何文件和资料。如果甲方有要求，除了合同本身以外，乙方在完成合同后应将这些文件及全部复制件还给甲方。</w:t>
      </w:r>
    </w:p>
    <w:p w14:paraId="53E7F34F">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 乙方的技术秘密、商业秘密和声明需要保密的资料和信息，甲方不得为合同以外的目的泄露给他人。</w:t>
      </w:r>
    </w:p>
    <w:p w14:paraId="7016F141">
      <w:pPr>
        <w:pStyle w:val="6"/>
        <w:rPr>
          <w:rFonts w:hint="eastAsia" w:ascii="仿宋" w:hAnsi="仿宋" w:eastAsia="仿宋" w:cs="仿宋"/>
          <w:color w:val="auto"/>
          <w:highlight w:val="none"/>
          <w:lang w:eastAsia="zh-CN"/>
        </w:rPr>
      </w:pPr>
      <w:bookmarkStart w:id="301" w:name="_Toc20360"/>
      <w:bookmarkStart w:id="302" w:name="_Toc152"/>
      <w:bookmarkStart w:id="303" w:name="_Toc31268"/>
      <w:r>
        <w:rPr>
          <w:rFonts w:hint="eastAsia" w:ascii="仿宋" w:hAnsi="仿宋" w:eastAsia="仿宋" w:cs="仿宋"/>
          <w:color w:val="auto"/>
          <w:highlight w:val="none"/>
          <w:lang w:eastAsia="zh-CN"/>
        </w:rPr>
        <w:t>6. 知识产权</w:t>
      </w:r>
      <w:bookmarkEnd w:id="301"/>
      <w:bookmarkEnd w:id="302"/>
      <w:bookmarkEnd w:id="303"/>
    </w:p>
    <w:p w14:paraId="41B96606">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 乙方应保证，甲方使用本合同</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或</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的任何一部分时，免受第三方提出的侵犯其专利权、商标权、著作权或其他知识产权的起诉。</w:t>
      </w:r>
    </w:p>
    <w:p w14:paraId="1E56DDEB">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 如果发生第三方就乙方向甲方提供的本合同项下所涉及的货物及服务对甲方进行侵权指控，乙方应承担由此而引起的一切经济和法律责任。</w:t>
      </w:r>
    </w:p>
    <w:p w14:paraId="483BFAB3">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6.3 乙方在投标中采用专利技术的，专利技术的使用费包含在合同总价内。</w:t>
      </w:r>
    </w:p>
    <w:p w14:paraId="2A85DFCB">
      <w:pPr>
        <w:pStyle w:val="6"/>
        <w:rPr>
          <w:rFonts w:hint="eastAsia" w:ascii="仿宋" w:hAnsi="仿宋" w:eastAsia="仿宋" w:cs="仿宋"/>
          <w:color w:val="auto"/>
          <w:highlight w:val="none"/>
          <w:lang w:eastAsia="zh-CN"/>
        </w:rPr>
      </w:pPr>
      <w:bookmarkStart w:id="304" w:name="_Toc23073"/>
      <w:bookmarkStart w:id="305" w:name="_Toc19848"/>
      <w:bookmarkStart w:id="306" w:name="_Toc19260"/>
      <w:r>
        <w:rPr>
          <w:rFonts w:hint="eastAsia" w:ascii="仿宋" w:hAnsi="仿宋" w:eastAsia="仿宋" w:cs="仿宋"/>
          <w:color w:val="auto"/>
          <w:highlight w:val="none"/>
          <w:lang w:eastAsia="zh-CN"/>
        </w:rPr>
        <w:t>7.联络</w:t>
      </w:r>
      <w:bookmarkEnd w:id="304"/>
      <w:bookmarkEnd w:id="305"/>
      <w:bookmarkEnd w:id="306"/>
    </w:p>
    <w:p w14:paraId="5B94615E">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 甲方对乙方的合同履行情况进行督促和检查。</w:t>
      </w:r>
    </w:p>
    <w:p w14:paraId="56EAC07D">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 乙方应设乙方代表，负责服务环节的业务协调以及与甲方的联络，并在合同生效后10天内向甲方书面提供乙方代表的姓名、职务、联系方式及授权书。</w:t>
      </w:r>
    </w:p>
    <w:p w14:paraId="05AF6633">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7.3 乙方代表的变更、撤销应获得甲方的书面认可。甲方有权根据乙方代表的工作情况，提出撤换人员的要求。乙方应根据第 7.2 款的要求尽快重新任命上述人员，在新任人员到位前原乙方代表继续承担第 7.2 款的职责。</w:t>
      </w:r>
    </w:p>
    <w:p w14:paraId="4122CA3E">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7.4 甲乙双方通过代表联络与履行合同有关事宜均应采用书面形式。</w:t>
      </w:r>
    </w:p>
    <w:p w14:paraId="43842C31">
      <w:pPr>
        <w:pStyle w:val="6"/>
        <w:rPr>
          <w:rFonts w:hint="eastAsia" w:ascii="仿宋" w:hAnsi="仿宋" w:eastAsia="仿宋" w:cs="仿宋"/>
          <w:color w:val="auto"/>
          <w:highlight w:val="none"/>
          <w:lang w:eastAsia="zh-CN"/>
        </w:rPr>
      </w:pPr>
      <w:bookmarkStart w:id="307" w:name="_Toc26466"/>
      <w:bookmarkStart w:id="308" w:name="_Toc31762"/>
      <w:bookmarkStart w:id="309" w:name="_Toc14011"/>
      <w:r>
        <w:rPr>
          <w:rFonts w:hint="eastAsia" w:ascii="仿宋" w:hAnsi="仿宋" w:eastAsia="仿宋" w:cs="仿宋"/>
          <w:color w:val="auto"/>
          <w:highlight w:val="none"/>
          <w:lang w:eastAsia="zh-CN"/>
        </w:rPr>
        <w:t>8. 计划和报告</w:t>
      </w:r>
      <w:bookmarkEnd w:id="307"/>
      <w:bookmarkEnd w:id="308"/>
      <w:bookmarkEnd w:id="309"/>
    </w:p>
    <w:p w14:paraId="36436377">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 合同签订后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日内，乙方向甲方提供服务方案。如甲方认为需要调整，乙方应根据要求修改方案。</w:t>
      </w:r>
    </w:p>
    <w:p w14:paraId="6A3FD498">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8.2 乙方应根据供应需求计划，按合同约定的时间向甲方提交进度报告。进度报告应包括：</w:t>
      </w:r>
    </w:p>
    <w:p w14:paraId="7F5A983E">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（1）服务安排计划；</w:t>
      </w:r>
    </w:p>
    <w:p w14:paraId="22A84B04">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（2）实际完成进度与计划完成进度的比较；</w:t>
      </w:r>
    </w:p>
    <w:p w14:paraId="6356EE26">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（3）如果实际进度比计划进度滞后，应给出原因及改进措施。</w:t>
      </w:r>
    </w:p>
    <w:p w14:paraId="01AB5165">
      <w:pPr>
        <w:pStyle w:val="6"/>
        <w:rPr>
          <w:rFonts w:hint="eastAsia" w:ascii="仿宋" w:hAnsi="仿宋" w:eastAsia="仿宋" w:cs="仿宋"/>
          <w:color w:val="auto"/>
          <w:highlight w:val="none"/>
          <w:lang w:eastAsia="zh-CN"/>
        </w:rPr>
      </w:pPr>
      <w:bookmarkStart w:id="310" w:name="_Toc10303"/>
      <w:bookmarkStart w:id="311" w:name="_Toc12570"/>
      <w:bookmarkStart w:id="312" w:name="_Toc31370"/>
      <w:r>
        <w:rPr>
          <w:rFonts w:hint="eastAsia" w:ascii="仿宋" w:hAnsi="仿宋" w:eastAsia="仿宋" w:cs="仿宋"/>
          <w:color w:val="auto"/>
          <w:highlight w:val="none"/>
          <w:lang w:eastAsia="zh-CN"/>
        </w:rPr>
        <w:t>9. 验收</w:t>
      </w:r>
      <w:bookmarkEnd w:id="310"/>
      <w:bookmarkEnd w:id="311"/>
      <w:bookmarkEnd w:id="312"/>
    </w:p>
    <w:p w14:paraId="3289F75E">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9.1甲方对乙方提供的服务进行验收。</w:t>
      </w:r>
    </w:p>
    <w:p w14:paraId="797A8AF9">
      <w:pPr>
        <w:snapToGrid w:val="0"/>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 xml:space="preserve">  验收时间：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783B5328">
      <w:pPr>
        <w:snapToGrid w:val="0"/>
        <w:spacing w:line="360" w:lineRule="auto"/>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验收地点：</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7B45361A">
      <w:pPr>
        <w:snapToGrid w:val="0"/>
        <w:spacing w:line="360" w:lineRule="auto"/>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验收方式：</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1900A91F">
      <w:pPr>
        <w:pStyle w:val="17"/>
        <w:tabs>
          <w:tab w:val="left" w:pos="0"/>
        </w:tabs>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9.2 乙方应对提供的服务成果作出全面自查和整理，并列出清单，作为甲方验收和使用的技术条件依据，清单应随提供的服务成果交给甲方。</w:t>
      </w:r>
    </w:p>
    <w:p w14:paraId="32CAC7C6">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9.3 验收时，甲乙双方必须同时在场，乙方所提供的服务不符合合同内容规定的，甲方有权拒绝验收。乙方应及时按本合同内容规定和甲方要求免费进行整改，直至验收合格，方视为乙方按本合同规定完成服务。在经过两次限期整改后，服务仍达不到合同文件规定内容的，甲方有权拒收，并可以解除合同；由此引起甲方损失及赔偿责任由乙方承担。</w:t>
      </w:r>
    </w:p>
    <w:p w14:paraId="0BA03CCA">
      <w:pPr>
        <w:pStyle w:val="6"/>
        <w:rPr>
          <w:rFonts w:hint="eastAsia" w:ascii="仿宋" w:hAnsi="仿宋" w:eastAsia="仿宋" w:cs="仿宋"/>
          <w:color w:val="auto"/>
          <w:highlight w:val="none"/>
          <w:lang w:eastAsia="zh-CN"/>
        </w:rPr>
      </w:pPr>
      <w:bookmarkStart w:id="313" w:name="_Toc5199"/>
      <w:bookmarkStart w:id="314" w:name="_Toc21928"/>
      <w:bookmarkStart w:id="315" w:name="_Toc13544"/>
      <w:r>
        <w:rPr>
          <w:rFonts w:hint="eastAsia" w:ascii="仿宋" w:hAnsi="仿宋" w:eastAsia="仿宋" w:cs="仿宋"/>
          <w:color w:val="auto"/>
          <w:highlight w:val="none"/>
          <w:lang w:eastAsia="zh-CN"/>
        </w:rPr>
        <w:t>10. 分包、转包</w:t>
      </w:r>
      <w:bookmarkEnd w:id="313"/>
      <w:bookmarkEnd w:id="314"/>
      <w:bookmarkEnd w:id="315"/>
    </w:p>
    <w:p w14:paraId="6AC9CEEB">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10.1除甲方事先书面同意外，乙方不得部分或全部转让其应履行的合同义务。</w:t>
      </w:r>
    </w:p>
    <w:p w14:paraId="09FADCBD">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10.2除甲方事先书面同意外，乙方不得改变在响应文件中提出的分包项目和建议的分包人（如果有）。</w:t>
      </w:r>
    </w:p>
    <w:p w14:paraId="1104562C">
      <w:pPr>
        <w:pStyle w:val="6"/>
        <w:rPr>
          <w:rFonts w:hint="eastAsia" w:ascii="仿宋" w:hAnsi="仿宋" w:eastAsia="仿宋" w:cs="仿宋"/>
          <w:color w:val="auto"/>
          <w:highlight w:val="none"/>
          <w:lang w:eastAsia="zh-CN"/>
        </w:rPr>
      </w:pPr>
      <w:bookmarkStart w:id="316" w:name="_Toc17857"/>
      <w:bookmarkStart w:id="317" w:name="_Toc3665"/>
      <w:bookmarkStart w:id="318" w:name="_Toc11559"/>
      <w:r>
        <w:rPr>
          <w:rFonts w:hint="eastAsia" w:ascii="仿宋" w:hAnsi="仿宋" w:eastAsia="仿宋" w:cs="仿宋"/>
          <w:color w:val="auto"/>
          <w:highlight w:val="none"/>
          <w:lang w:eastAsia="zh-CN"/>
        </w:rPr>
        <w:t>11. 违约</w:t>
      </w:r>
      <w:bookmarkEnd w:id="316"/>
      <w:bookmarkEnd w:id="317"/>
      <w:bookmarkEnd w:id="318"/>
    </w:p>
    <w:p w14:paraId="09B58D1F">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 乙方违约</w:t>
      </w:r>
    </w:p>
    <w:p w14:paraId="285F64EA">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11.1.1 乙方所交付服务成果不符合本合同规定的，甲方有权拒收，乙方在得到甲方通知之日起</w:t>
      </w:r>
      <w:r>
        <w:rPr>
          <w:rFonts w:hint="eastAsia" w:ascii="仿宋" w:hAnsi="仿宋" w:eastAsia="仿宋" w:cs="仿宋"/>
          <w:color w:val="auto"/>
          <w:sz w:val="24"/>
          <w:szCs w:val="24"/>
          <w:highlight w:val="none"/>
          <w:u w:val="single"/>
        </w:rPr>
        <w:t xml:space="preserve">  3  </w:t>
      </w:r>
      <w:r>
        <w:rPr>
          <w:rFonts w:hint="eastAsia" w:ascii="仿宋" w:hAnsi="仿宋" w:eastAsia="仿宋" w:cs="仿宋"/>
          <w:color w:val="auto"/>
          <w:sz w:val="24"/>
          <w:szCs w:val="24"/>
          <w:highlight w:val="none"/>
        </w:rPr>
        <w:t>个工作日内采取补救措施，逾期仍未采取有效措施的，甲方有权要求乙方赔偿因此造成的损失或扣留履约保证金；同时乙方应向甲方支付合同总价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％的违约金/次。</w:t>
      </w:r>
    </w:p>
    <w:p w14:paraId="4C4766FD">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11.1.2 乙方无正当理由逾期交付服务的，每逾期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天，乙方向甲方偿付合同总额的</w:t>
      </w:r>
      <w:r>
        <w:rPr>
          <w:rFonts w:hint="eastAsia" w:ascii="仿宋" w:hAnsi="仿宋" w:eastAsia="仿宋" w:cs="仿宋"/>
          <w:color w:val="auto"/>
          <w:sz w:val="24"/>
          <w:szCs w:val="24"/>
          <w:highlight w:val="none"/>
          <w:u w:val="single"/>
        </w:rPr>
        <w:t xml:space="preserve"> 1 </w:t>
      </w:r>
      <w:r>
        <w:rPr>
          <w:rFonts w:hint="eastAsia" w:ascii="仿宋" w:hAnsi="仿宋" w:eastAsia="仿宋" w:cs="仿宋"/>
          <w:color w:val="auto"/>
          <w:sz w:val="24"/>
          <w:szCs w:val="24"/>
          <w:highlight w:val="none"/>
        </w:rPr>
        <w:t>‰的违约金，但累计误期违约金总额不超过合同总额的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％。如乙方逾期达</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天或达到误期违约金最高限额时，甲方有权解除合同，甲方解除合同的通知自到达乙方时生效。在此情况下，乙方给甲方造成的实际损失高于违约金的，对高出违约金的部分乙方应予以赔偿。</w:t>
      </w:r>
    </w:p>
    <w:p w14:paraId="018597A7">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11.2 甲方违约</w:t>
      </w:r>
    </w:p>
    <w:p w14:paraId="51E2F34A">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11.2.1 甲方无正当理由拒收乙方服务成果，甲方应向乙方支付拒付合同价款</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％的违约金/次。</w:t>
      </w:r>
    </w:p>
    <w:p w14:paraId="5D0A36F2">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11.2.2 甲方未按合同规定的期限向乙方支付合同款的，每逾期1天甲方向乙方支付逾期价款的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‰违约金，但累计违约金总额不超过逾期价款的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736382A7">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11.3 其它未尽事宜，以《民法典》等有关法律法规规定为准，无相关规定的，双方协商解决。</w:t>
      </w:r>
    </w:p>
    <w:p w14:paraId="597AC1CB">
      <w:pPr>
        <w:pStyle w:val="6"/>
        <w:rPr>
          <w:rFonts w:hint="eastAsia" w:ascii="仿宋" w:hAnsi="仿宋" w:eastAsia="仿宋" w:cs="仿宋"/>
          <w:color w:val="auto"/>
          <w:highlight w:val="none"/>
          <w:lang w:eastAsia="zh-CN"/>
        </w:rPr>
      </w:pPr>
      <w:bookmarkStart w:id="319" w:name="_Toc12043"/>
      <w:bookmarkStart w:id="320" w:name="_Toc8039"/>
      <w:bookmarkStart w:id="321" w:name="_Toc32538"/>
      <w:r>
        <w:rPr>
          <w:rFonts w:hint="eastAsia" w:ascii="仿宋" w:hAnsi="仿宋" w:eastAsia="仿宋" w:cs="仿宋"/>
          <w:color w:val="auto"/>
          <w:highlight w:val="none"/>
          <w:lang w:eastAsia="zh-CN"/>
        </w:rPr>
        <w:t>12. 合同解除</w:t>
      </w:r>
      <w:bookmarkEnd w:id="319"/>
      <w:bookmarkEnd w:id="320"/>
      <w:bookmarkEnd w:id="321"/>
    </w:p>
    <w:p w14:paraId="03767521">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 乙方违约时合同解除</w:t>
      </w:r>
    </w:p>
    <w:p w14:paraId="5109457E">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12.1.1 发生下列情形时，在甲方对乙方违约提出警告无效的情况下，甲方可以书面形式通知乙方，提出解除合同。</w:t>
      </w:r>
    </w:p>
    <w:p w14:paraId="3338B9E5">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（1）如果乙方未能在合同规定的时间内或未能在包括但不限于甲方同意延长的期限内提供部分或全部合同</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w:t>
      </w:r>
    </w:p>
    <w:p w14:paraId="49A28C12">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（2）如果乙方未能履行合同约定的义务；</w:t>
      </w:r>
    </w:p>
    <w:p w14:paraId="219B471D">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12.2 乙方破产时解除合同</w:t>
      </w:r>
    </w:p>
    <w:p w14:paraId="60B252C2">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果乙方破产或无清偿债务的能力，导致合同不能履行时，甲方可以以书面形式通知乙方解除合同而不对乙方进行任何补偿。同时该解除合同将不损害或影响甲方已经采取或将要采取的任何行动或补救措施的任何权利。</w:t>
      </w:r>
    </w:p>
    <w:p w14:paraId="72482A91">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12.3 甲方违约解除合同</w:t>
      </w:r>
    </w:p>
    <w:p w14:paraId="6E8D3A50">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如果甲方无法继续履行或明确表示不履行或实质上已停止履行合同，乙方可以书面形式通知甲方，</w:t>
      </w:r>
      <w:r>
        <w:rPr>
          <w:rFonts w:hint="eastAsia" w:ascii="仿宋" w:hAnsi="仿宋" w:eastAsia="仿宋" w:cs="仿宋"/>
          <w:color w:val="auto"/>
          <w:position w:val="-1"/>
          <w:sz w:val="24"/>
          <w:szCs w:val="24"/>
          <w:highlight w:val="none"/>
        </w:rPr>
        <w:t>提出解除合同。解除合同不免除甲方承担的违约责任。</w:t>
      </w:r>
    </w:p>
    <w:p w14:paraId="4BCA0074">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12.4 甲方解除合同后的结清</w:t>
      </w:r>
    </w:p>
    <w:p w14:paraId="6A21D4DB">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因乙方违约或破产，甲方提出解除合同的，在甲方通知乙方解除合同</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天内，乙方向甲方提交有关资料和凭证，按下列方式结清。</w:t>
      </w:r>
    </w:p>
    <w:p w14:paraId="2A3BE88F">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（1）乙方应将一切与合同有关的并已付款的文件、资料交付给甲方。</w:t>
      </w:r>
    </w:p>
    <w:p w14:paraId="317CE96B">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（2）甲方应清查各项付款和已扣款金额，包括按合同约定的违约扣款，以及由于解除合同给甲方造成损失的违约金额，并做详细说明。</w:t>
      </w:r>
    </w:p>
    <w:p w14:paraId="12163A80">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（4）甲乙双方确认上述往来款项和违约金额后，结清合同价款。</w:t>
      </w:r>
    </w:p>
    <w:p w14:paraId="3E0CF789">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（5）甲乙双方未能就解除合同后的结清达成一致而形成争议的，按合同约定办理。</w:t>
      </w:r>
    </w:p>
    <w:p w14:paraId="511A6E1A">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12.5 乙方解除合同的结清</w:t>
      </w:r>
    </w:p>
    <w:p w14:paraId="1EC8CDB9">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因甲方违约乙方提出解除合同的，在乙方通知甲方解除合同</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天内，乙方向甲方提交有关资料和凭证，按下列方式结清。</w:t>
      </w:r>
    </w:p>
    <w:p w14:paraId="36F5EDE9">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（1）乙方应将一切与合同有关的并已付款的文件、资料交付给甲方。</w:t>
      </w:r>
    </w:p>
    <w:p w14:paraId="0D0882D0">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（2）乙方应清查已交付的合同</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金额，甲方已支付的金额，甲方未支付的金额，以及由于解除合同给乙方造成损失的违约金额，并做详细说明。</w:t>
      </w:r>
    </w:p>
    <w:p w14:paraId="1AA67F8F">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（3）甲乙双方确认上述往来款项和违约金额后，结清合同价款，甲方应退还质量保证金和履约保证金。</w:t>
      </w:r>
    </w:p>
    <w:p w14:paraId="6C6E6411">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（4）甲乙双方未能就解除合同后的结清达成一致而形成争议的，按合同约定办理。</w:t>
      </w:r>
    </w:p>
    <w:p w14:paraId="5565593A">
      <w:pPr>
        <w:pStyle w:val="6"/>
        <w:rPr>
          <w:rFonts w:hint="eastAsia" w:ascii="仿宋" w:hAnsi="仿宋" w:eastAsia="仿宋" w:cs="仿宋"/>
          <w:color w:val="auto"/>
          <w:highlight w:val="none"/>
          <w:lang w:eastAsia="zh-CN"/>
        </w:rPr>
      </w:pPr>
      <w:bookmarkStart w:id="322" w:name="_Toc1791"/>
      <w:bookmarkStart w:id="323" w:name="_Toc29613"/>
      <w:bookmarkStart w:id="324" w:name="_Toc7117"/>
      <w:r>
        <w:rPr>
          <w:rFonts w:hint="eastAsia" w:ascii="仿宋" w:hAnsi="仿宋" w:eastAsia="仿宋" w:cs="仿宋"/>
          <w:color w:val="auto"/>
          <w:highlight w:val="none"/>
          <w:lang w:eastAsia="zh-CN"/>
        </w:rPr>
        <w:t>13. 履约保证金</w:t>
      </w:r>
      <w:bookmarkEnd w:id="322"/>
      <w:bookmarkEnd w:id="323"/>
      <w:bookmarkEnd w:id="324"/>
    </w:p>
    <w:p w14:paraId="68ACE628">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13.1 乙方应向甲方提交提交履约保证金，履约保证金用于补偿甲方因乙方不能履行其合同义务而蒙受的损失。</w:t>
      </w:r>
    </w:p>
    <w:p w14:paraId="1B7046D3">
      <w:pPr>
        <w:widowControl/>
        <w:adjustRightInd w:val="0"/>
        <w:snapToGrid w:val="0"/>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履约保证金金额：</w:t>
      </w:r>
      <w:r>
        <w:rPr>
          <w:rFonts w:hint="eastAsia" w:ascii="仿宋" w:hAnsi="仿宋" w:eastAsia="仿宋" w:cs="仿宋"/>
          <w:color w:val="auto"/>
          <w:sz w:val="24"/>
          <w:szCs w:val="24"/>
          <w:highlight w:val="none"/>
          <w:u w:val="single"/>
        </w:rPr>
        <w:t xml:space="preserve">                  </w:t>
      </w:r>
    </w:p>
    <w:p w14:paraId="2C16FBBA">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履约保证金形式：</w:t>
      </w:r>
      <w:r>
        <w:rPr>
          <w:rFonts w:hint="eastAsia" w:ascii="仿宋" w:hAnsi="仿宋" w:eastAsia="仿宋" w:cs="仿宋"/>
          <w:color w:val="auto"/>
          <w:sz w:val="24"/>
          <w:szCs w:val="24"/>
          <w:highlight w:val="none"/>
          <w:u w:val="single"/>
        </w:rPr>
        <w:t xml:space="preserve">                  </w:t>
      </w:r>
    </w:p>
    <w:p w14:paraId="0B96E9C5">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履约保证金提交时间：</w:t>
      </w:r>
      <w:r>
        <w:rPr>
          <w:rFonts w:hint="eastAsia" w:ascii="仿宋" w:hAnsi="仿宋" w:eastAsia="仿宋" w:cs="仿宋"/>
          <w:color w:val="auto"/>
          <w:sz w:val="24"/>
          <w:szCs w:val="24"/>
          <w:highlight w:val="none"/>
          <w:u w:val="single"/>
        </w:rPr>
        <w:t xml:space="preserve">              </w:t>
      </w:r>
    </w:p>
    <w:p w14:paraId="275397FF">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13.2履约保证金的有效期为合同服务最后一批服务成果验收合格后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天。</w:t>
      </w:r>
    </w:p>
    <w:p w14:paraId="6E4E349D">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13.3履约保证金在合同服务成果验收合格后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天内无息退还。</w:t>
      </w:r>
    </w:p>
    <w:p w14:paraId="06DAF855">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13.4 履约保证金因乙方原因导致服务期限延长，其履约保证金有效期应相应延长。</w:t>
      </w:r>
    </w:p>
    <w:p w14:paraId="4C3AE6C9">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13.5 发生下列之一者，则不予退还履约保证金：</w:t>
      </w:r>
    </w:p>
    <w:p w14:paraId="62EA2C78">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（1）乙方发生违约行为而完全终止合同；</w:t>
      </w:r>
    </w:p>
    <w:p w14:paraId="40C9177D">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（2）乙方不履行实质性的投标承诺。</w:t>
      </w:r>
    </w:p>
    <w:p w14:paraId="1CF250BA">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13.6 履约保证金的退还或不予退还并不免除乙方对已交付服务的质量责任。</w:t>
      </w:r>
    </w:p>
    <w:p w14:paraId="1A8BCEC9">
      <w:pPr>
        <w:pStyle w:val="6"/>
        <w:rPr>
          <w:rFonts w:hint="eastAsia" w:ascii="仿宋" w:hAnsi="仿宋" w:eastAsia="仿宋" w:cs="仿宋"/>
          <w:color w:val="auto"/>
          <w:highlight w:val="none"/>
          <w:lang w:eastAsia="zh-CN"/>
        </w:rPr>
      </w:pPr>
      <w:bookmarkStart w:id="325" w:name="_Toc16580"/>
      <w:bookmarkStart w:id="326" w:name="_Toc23685"/>
      <w:bookmarkStart w:id="327" w:name="_Toc15491"/>
      <w:r>
        <w:rPr>
          <w:rFonts w:hint="eastAsia" w:ascii="仿宋" w:hAnsi="仿宋" w:eastAsia="仿宋" w:cs="仿宋"/>
          <w:color w:val="auto"/>
          <w:highlight w:val="none"/>
          <w:lang w:eastAsia="zh-CN"/>
        </w:rPr>
        <w:t>14. 不可抗力</w:t>
      </w:r>
      <w:bookmarkEnd w:id="325"/>
      <w:bookmarkEnd w:id="326"/>
      <w:bookmarkEnd w:id="327"/>
    </w:p>
    <w:p w14:paraId="3ECAE6DC">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14.1 如果合同任何一方受诸如战争、严重的火灾、台风、地震、洪水以及任何其他不能预见、不能避免且不能克服的不可抗力事件的影响而无法履行合同项下的任何义务，受影响的一方应将此类事件的发生通知合同另一方，并应在不可抗力事件发生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天内书面</w:t>
      </w:r>
      <w:r>
        <w:rPr>
          <w:rFonts w:hint="eastAsia" w:ascii="仿宋" w:hAnsi="仿宋" w:eastAsia="仿宋" w:cs="仿宋"/>
          <w:color w:val="auto"/>
          <w:position w:val="-1"/>
          <w:sz w:val="24"/>
          <w:szCs w:val="24"/>
          <w:highlight w:val="none"/>
        </w:rPr>
        <w:t>说明不可抗力和受阻碍的详细情</w:t>
      </w:r>
      <w:r>
        <w:rPr>
          <w:rFonts w:hint="eastAsia" w:ascii="仿宋" w:hAnsi="仿宋" w:eastAsia="仿宋" w:cs="仿宋"/>
          <w:color w:val="auto"/>
          <w:sz w:val="24"/>
          <w:szCs w:val="24"/>
          <w:highlight w:val="none"/>
        </w:rPr>
        <w:t>况，并提供必要的证明。</w:t>
      </w:r>
    </w:p>
    <w:p w14:paraId="097258DB">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14.2 受不可抗力事件影响的合同一方对于不可抗力事件导致的任何合同义务的迟延履行或不能履行不承担责任。但该合同方应尽快将不可抗力事件结束或其影响消除的情况通知合同另一方。双方由此产生的损失不得向对方提出索赔要求，也不承担误期赔偿或终止合同的责任。</w:t>
      </w:r>
    </w:p>
    <w:p w14:paraId="4E2693AF">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14.3 合同双方应在不可抗力事件结束或其影响消除后，立即继续履行其合同义务，合同期限也应相应延长。如果不可抗力事件的影响持续超过</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天，合同任何一方均有权以书面形式通知对方部分或全部终止合同。</w:t>
      </w:r>
    </w:p>
    <w:p w14:paraId="536B7C23">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14.4 因不可抗力终止合同的结清参照第12.4款规定办理。</w:t>
      </w:r>
    </w:p>
    <w:p w14:paraId="6231E6E0">
      <w:pPr>
        <w:pStyle w:val="6"/>
        <w:rPr>
          <w:rFonts w:hint="eastAsia" w:ascii="仿宋" w:hAnsi="仿宋" w:eastAsia="仿宋" w:cs="仿宋"/>
          <w:color w:val="auto"/>
          <w:highlight w:val="none"/>
          <w:lang w:eastAsia="zh-CN"/>
        </w:rPr>
      </w:pPr>
      <w:bookmarkStart w:id="328" w:name="_Toc15413"/>
      <w:bookmarkStart w:id="329" w:name="_Toc8405"/>
      <w:bookmarkStart w:id="330" w:name="_Toc8460"/>
      <w:r>
        <w:rPr>
          <w:rFonts w:hint="eastAsia" w:ascii="仿宋" w:hAnsi="仿宋" w:eastAsia="仿宋" w:cs="仿宋"/>
          <w:color w:val="auto"/>
          <w:highlight w:val="none"/>
          <w:lang w:eastAsia="zh-CN"/>
        </w:rPr>
        <w:t>15. 税费</w:t>
      </w:r>
      <w:bookmarkEnd w:id="328"/>
      <w:bookmarkEnd w:id="329"/>
      <w:bookmarkEnd w:id="330"/>
    </w:p>
    <w:p w14:paraId="36E7AF3F">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15.1 按现行税法规定向甲方征收的与本合同有关的一切税费均由甲方负责。</w:t>
      </w:r>
    </w:p>
    <w:p w14:paraId="26E14336">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15.2 按现行税法规定向乙方征收的与本合同有关的一切税费均由乙方负责。</w:t>
      </w:r>
    </w:p>
    <w:p w14:paraId="7614FF89">
      <w:pPr>
        <w:pStyle w:val="6"/>
        <w:rPr>
          <w:rFonts w:hint="eastAsia" w:ascii="仿宋" w:hAnsi="仿宋" w:eastAsia="仿宋" w:cs="仿宋"/>
          <w:color w:val="auto"/>
          <w:highlight w:val="none"/>
          <w:lang w:eastAsia="zh-CN"/>
        </w:rPr>
      </w:pPr>
      <w:bookmarkStart w:id="331" w:name="_Toc24097"/>
      <w:bookmarkStart w:id="332" w:name="_Toc31600"/>
      <w:bookmarkStart w:id="333" w:name="_Toc21289"/>
      <w:r>
        <w:rPr>
          <w:rFonts w:hint="eastAsia" w:ascii="仿宋" w:hAnsi="仿宋" w:eastAsia="仿宋" w:cs="仿宋"/>
          <w:color w:val="auto"/>
          <w:highlight w:val="none"/>
          <w:lang w:eastAsia="zh-CN"/>
        </w:rPr>
        <w:t>16. 争议的解决</w:t>
      </w:r>
      <w:bookmarkEnd w:id="331"/>
      <w:bookmarkEnd w:id="332"/>
      <w:bookmarkEnd w:id="333"/>
    </w:p>
    <w:p w14:paraId="23A0BCD0">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16.1 合同履行过程中出现争议时，甲乙双方应本着公平、合理的原则，及时友好协商解决。如在</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天内未能解决，按下列第</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种方式解决：</w:t>
      </w:r>
    </w:p>
    <w:p w14:paraId="4783D368">
      <w:pPr>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（1）向</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仲裁委员会申请仲裁；</w:t>
      </w:r>
    </w:p>
    <w:p w14:paraId="72D51E50">
      <w:pPr>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（2）向</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人民法院起诉。</w:t>
      </w:r>
    </w:p>
    <w:p w14:paraId="50D1E989">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16.2 在争议期间，除存在争议的部分外，本合同其它部分应继续履行。</w:t>
      </w:r>
    </w:p>
    <w:p w14:paraId="1EFBDF2B">
      <w:pPr>
        <w:pStyle w:val="6"/>
        <w:rPr>
          <w:rFonts w:hint="eastAsia" w:ascii="仿宋" w:hAnsi="仿宋" w:eastAsia="仿宋" w:cs="仿宋"/>
          <w:color w:val="auto"/>
          <w:highlight w:val="none"/>
          <w:lang w:eastAsia="zh-CN"/>
        </w:rPr>
      </w:pPr>
      <w:bookmarkStart w:id="334" w:name="_Toc7729"/>
      <w:bookmarkStart w:id="335" w:name="_Toc14596"/>
      <w:bookmarkStart w:id="336" w:name="_Toc1064"/>
      <w:r>
        <w:rPr>
          <w:rFonts w:hint="eastAsia" w:ascii="仿宋" w:hAnsi="仿宋" w:eastAsia="仿宋" w:cs="仿宋"/>
          <w:color w:val="auto"/>
          <w:highlight w:val="none"/>
          <w:lang w:eastAsia="zh-CN"/>
        </w:rPr>
        <w:t>17. 适用法律</w:t>
      </w:r>
      <w:bookmarkEnd w:id="334"/>
      <w:bookmarkEnd w:id="335"/>
      <w:bookmarkEnd w:id="336"/>
    </w:p>
    <w:p w14:paraId="25214C48">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本合同应按照中华人民共和国的法律进行解释。</w:t>
      </w:r>
    </w:p>
    <w:p w14:paraId="32B14BEC">
      <w:pPr>
        <w:pStyle w:val="6"/>
        <w:rPr>
          <w:rFonts w:hint="eastAsia" w:ascii="仿宋" w:hAnsi="仿宋" w:eastAsia="仿宋" w:cs="仿宋"/>
          <w:color w:val="auto"/>
          <w:highlight w:val="none"/>
          <w:lang w:eastAsia="zh-CN"/>
        </w:rPr>
      </w:pPr>
      <w:bookmarkStart w:id="337" w:name="_Toc17817"/>
      <w:bookmarkStart w:id="338" w:name="_Toc14235"/>
      <w:bookmarkStart w:id="339" w:name="_Toc15201"/>
      <w:r>
        <w:rPr>
          <w:rFonts w:hint="eastAsia" w:ascii="仿宋" w:hAnsi="仿宋" w:eastAsia="仿宋" w:cs="仿宋"/>
          <w:color w:val="auto"/>
          <w:highlight w:val="none"/>
          <w:lang w:eastAsia="zh-CN"/>
        </w:rPr>
        <w:t>18. 合同生效</w:t>
      </w:r>
      <w:bookmarkEnd w:id="337"/>
      <w:bookmarkEnd w:id="338"/>
      <w:bookmarkEnd w:id="339"/>
    </w:p>
    <w:p w14:paraId="556F7B19">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除法律另有规定外，甲方和乙方的法定代表人（单位负责人）或其委托代理人在合同协议书上签字并盖单位章后，合同生效。</w:t>
      </w:r>
    </w:p>
    <w:p w14:paraId="029A7AC9">
      <w:pPr>
        <w:pStyle w:val="6"/>
        <w:rPr>
          <w:rFonts w:hint="eastAsia" w:ascii="仿宋" w:hAnsi="仿宋" w:eastAsia="仿宋" w:cs="仿宋"/>
          <w:color w:val="auto"/>
          <w:highlight w:val="none"/>
          <w:lang w:eastAsia="zh-CN"/>
        </w:rPr>
      </w:pPr>
      <w:bookmarkStart w:id="340" w:name="_Toc15690"/>
      <w:bookmarkStart w:id="341" w:name="_Toc24299"/>
      <w:bookmarkStart w:id="342" w:name="_Toc16105"/>
      <w:r>
        <w:rPr>
          <w:rFonts w:hint="eastAsia" w:ascii="仿宋" w:hAnsi="仿宋" w:eastAsia="仿宋" w:cs="仿宋"/>
          <w:color w:val="auto"/>
          <w:highlight w:val="none"/>
          <w:lang w:eastAsia="zh-CN"/>
        </w:rPr>
        <w:t>19. 合同附件</w:t>
      </w:r>
      <w:bookmarkEnd w:id="340"/>
      <w:bookmarkEnd w:id="341"/>
      <w:bookmarkEnd w:id="342"/>
    </w:p>
    <w:p w14:paraId="05B26EA7">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按合同协议书规定的合同组成部分作为合同附件。</w:t>
      </w:r>
    </w:p>
    <w:p w14:paraId="4DEEED03">
      <w:pPr>
        <w:pStyle w:val="6"/>
        <w:rPr>
          <w:rFonts w:hint="eastAsia" w:ascii="仿宋" w:hAnsi="仿宋" w:eastAsia="仿宋" w:cs="仿宋"/>
          <w:color w:val="auto"/>
          <w:highlight w:val="none"/>
          <w:lang w:eastAsia="zh-CN"/>
        </w:rPr>
      </w:pPr>
      <w:bookmarkStart w:id="343" w:name="_Toc26814"/>
      <w:bookmarkStart w:id="344" w:name="_Toc2396"/>
      <w:bookmarkStart w:id="345" w:name="_Toc12843"/>
      <w:r>
        <w:rPr>
          <w:rFonts w:hint="eastAsia" w:ascii="仿宋" w:hAnsi="仿宋" w:eastAsia="仿宋" w:cs="仿宋"/>
          <w:color w:val="auto"/>
          <w:highlight w:val="none"/>
          <w:lang w:eastAsia="zh-CN"/>
        </w:rPr>
        <w:t>20. 补充条款</w:t>
      </w:r>
      <w:bookmarkEnd w:id="343"/>
      <w:bookmarkEnd w:id="344"/>
      <w:bookmarkEnd w:id="345"/>
    </w:p>
    <w:p w14:paraId="0ED34667">
      <w:pPr>
        <w:widowControl/>
        <w:adjustRightInd w:val="0"/>
        <w:snapToGrid w:val="0"/>
        <w:spacing w:line="360" w:lineRule="auto"/>
        <w:ind w:firstLine="420"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p>
    <w:p w14:paraId="005733D9">
      <w:pPr>
        <w:pStyle w:val="6"/>
        <w:rPr>
          <w:rFonts w:hint="eastAsia" w:ascii="仿宋" w:hAnsi="仿宋" w:eastAsia="仿宋" w:cs="仿宋"/>
          <w:color w:val="auto"/>
          <w:highlight w:val="none"/>
          <w:lang w:eastAsia="zh-CN"/>
        </w:rPr>
      </w:pPr>
      <w:bookmarkStart w:id="346" w:name="_Toc3758"/>
      <w:bookmarkStart w:id="347" w:name="_Toc19470"/>
      <w:bookmarkStart w:id="348" w:name="_Toc32227"/>
      <w:r>
        <w:rPr>
          <w:rFonts w:hint="eastAsia" w:ascii="仿宋" w:hAnsi="仿宋" w:eastAsia="仿宋" w:cs="仿宋"/>
          <w:color w:val="auto"/>
          <w:highlight w:val="none"/>
          <w:lang w:eastAsia="zh-CN"/>
        </w:rPr>
        <w:t>21. 其他</w:t>
      </w:r>
      <w:bookmarkEnd w:id="346"/>
      <w:bookmarkEnd w:id="347"/>
      <w:bookmarkEnd w:id="348"/>
    </w:p>
    <w:p w14:paraId="72DF3F96">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本合同一式</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份，甲、乙双方各执</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w:t>
      </w:r>
    </w:p>
    <w:p w14:paraId="0EAA5AED">
      <w:pPr>
        <w:snapToGrid w:val="0"/>
        <w:spacing w:line="360" w:lineRule="auto"/>
        <w:ind w:firstLine="480" w:firstLineChars="200"/>
        <w:rPr>
          <w:rFonts w:hint="eastAsia" w:ascii="仿宋" w:hAnsi="仿宋" w:eastAsia="仿宋" w:cs="仿宋"/>
          <w:color w:val="auto"/>
          <w:sz w:val="24"/>
          <w:szCs w:val="24"/>
          <w:highlight w:val="none"/>
        </w:rPr>
      </w:pPr>
    </w:p>
    <w:p w14:paraId="04791FDA">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   方：                        乙   方：</w:t>
      </w:r>
    </w:p>
    <w:p w14:paraId="231E73C7">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名称：（盖章）                    名称：（盖章）</w:t>
      </w:r>
    </w:p>
    <w:p w14:paraId="0252375D">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                           地址：</w:t>
      </w:r>
    </w:p>
    <w:p w14:paraId="090FC432">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法定代表人（签字）：              法定代表人（签字）：</w:t>
      </w:r>
    </w:p>
    <w:p w14:paraId="7C1AF2DD">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授权代表（签字）：                授权代表（签字）：</w:t>
      </w:r>
    </w:p>
    <w:p w14:paraId="1B13B070">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                       开户银行：</w:t>
      </w:r>
    </w:p>
    <w:p w14:paraId="23BDDA71">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银行帐号：                       银行帐号：</w:t>
      </w:r>
    </w:p>
    <w:p w14:paraId="073F599B">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时间：         年     月     日</w:t>
      </w:r>
    </w:p>
    <w:p w14:paraId="0B4C4AEE">
      <w:pPr>
        <w:spacing w:line="360" w:lineRule="auto"/>
        <w:ind w:firstLine="480" w:firstLineChars="200"/>
        <w:rPr>
          <w:rFonts w:hint="eastAsia" w:ascii="仿宋" w:hAnsi="仿宋" w:eastAsia="仿宋" w:cs="仿宋"/>
          <w:bCs/>
          <w:snapToGrid w:val="0"/>
          <w:color w:val="auto"/>
          <w:sz w:val="24"/>
          <w:szCs w:val="24"/>
          <w:highlight w:val="none"/>
        </w:rPr>
      </w:pPr>
    </w:p>
    <w:p w14:paraId="62402CB7">
      <w:pPr>
        <w:spacing w:line="360" w:lineRule="auto"/>
        <w:ind w:firstLine="480" w:firstLineChars="200"/>
        <w:rPr>
          <w:rFonts w:hint="eastAsia" w:ascii="仿宋" w:hAnsi="仿宋" w:eastAsia="仿宋" w:cs="仿宋"/>
          <w:bCs/>
          <w:snapToGrid w:val="0"/>
          <w:color w:val="auto"/>
          <w:sz w:val="24"/>
          <w:szCs w:val="24"/>
          <w:highlight w:val="none"/>
        </w:rPr>
      </w:pPr>
      <w:r>
        <w:rPr>
          <w:rFonts w:hint="eastAsia" w:ascii="仿宋" w:hAnsi="仿宋" w:eastAsia="仿宋" w:cs="仿宋"/>
          <w:bCs/>
          <w:snapToGrid w:val="0"/>
          <w:color w:val="auto"/>
          <w:sz w:val="24"/>
          <w:szCs w:val="24"/>
          <w:highlight w:val="none"/>
        </w:rPr>
        <w:t>附件</w:t>
      </w:r>
    </w:p>
    <w:p w14:paraId="1CC9C778">
      <w:pPr>
        <w:spacing w:line="360" w:lineRule="auto"/>
        <w:ind w:firstLine="480" w:firstLineChars="200"/>
        <w:rPr>
          <w:rFonts w:hint="eastAsia" w:ascii="仿宋" w:hAnsi="仿宋" w:eastAsia="仿宋" w:cs="仿宋"/>
          <w:bCs/>
          <w:snapToGrid w:val="0"/>
          <w:color w:val="auto"/>
          <w:sz w:val="24"/>
          <w:szCs w:val="24"/>
          <w:highlight w:val="none"/>
        </w:rPr>
      </w:pPr>
      <w:r>
        <w:rPr>
          <w:rFonts w:hint="eastAsia" w:ascii="仿宋" w:hAnsi="仿宋" w:eastAsia="仿宋" w:cs="仿宋"/>
          <w:bCs/>
          <w:snapToGrid w:val="0"/>
          <w:color w:val="auto"/>
          <w:sz w:val="24"/>
          <w:szCs w:val="24"/>
          <w:highlight w:val="none"/>
        </w:rPr>
        <w:t>附件1：</w:t>
      </w:r>
      <w:r>
        <w:rPr>
          <w:rFonts w:hint="eastAsia" w:ascii="仿宋" w:hAnsi="仿宋" w:eastAsia="仿宋" w:cs="仿宋"/>
          <w:color w:val="auto"/>
          <w:sz w:val="24"/>
          <w:szCs w:val="24"/>
          <w:highlight w:val="none"/>
        </w:rPr>
        <w:t>合同协议书</w:t>
      </w:r>
    </w:p>
    <w:p w14:paraId="56B83CCD">
      <w:pPr>
        <w:spacing w:line="360" w:lineRule="auto"/>
        <w:ind w:firstLine="480" w:firstLineChars="200"/>
        <w:rPr>
          <w:rFonts w:hint="eastAsia" w:ascii="仿宋" w:hAnsi="仿宋" w:eastAsia="仿宋" w:cs="仿宋"/>
          <w:bCs/>
          <w:snapToGrid w:val="0"/>
          <w:color w:val="auto"/>
          <w:sz w:val="24"/>
          <w:szCs w:val="24"/>
          <w:highlight w:val="none"/>
        </w:rPr>
      </w:pPr>
      <w:r>
        <w:rPr>
          <w:rFonts w:hint="eastAsia" w:ascii="仿宋" w:hAnsi="仿宋" w:eastAsia="仿宋" w:cs="仿宋"/>
          <w:bCs/>
          <w:snapToGrid w:val="0"/>
          <w:color w:val="auto"/>
          <w:sz w:val="24"/>
          <w:szCs w:val="24"/>
          <w:highlight w:val="none"/>
        </w:rPr>
        <w:t>附件2：廉政协议</w:t>
      </w:r>
    </w:p>
    <w:p w14:paraId="65573813">
      <w:pPr>
        <w:snapToGrid w:val="0"/>
        <w:spacing w:line="360" w:lineRule="auto"/>
        <w:ind w:firstLine="420" w:firstLineChars="200"/>
        <w:rPr>
          <w:rFonts w:hint="eastAsia" w:ascii="宋体" w:hAnsi="宋体" w:cs="宋体"/>
          <w:color w:val="auto"/>
          <w:szCs w:val="21"/>
          <w:highlight w:val="none"/>
        </w:rPr>
      </w:pPr>
    </w:p>
    <w:p w14:paraId="37711569">
      <w:pPr>
        <w:adjustRightInd w:val="0"/>
        <w:snapToGrid w:val="0"/>
        <w:spacing w:line="360" w:lineRule="auto"/>
        <w:ind w:firstLine="420" w:firstLineChars="200"/>
        <w:rPr>
          <w:rFonts w:hint="eastAsia" w:ascii="宋体" w:hAnsi="宋体" w:cs="宋体"/>
          <w:color w:val="auto"/>
          <w:szCs w:val="21"/>
          <w:highlight w:val="none"/>
        </w:rPr>
      </w:pPr>
    </w:p>
    <w:p w14:paraId="4BDD2888">
      <w:pPr>
        <w:adjustRightInd w:val="0"/>
        <w:snapToGrid w:val="0"/>
        <w:spacing w:line="360" w:lineRule="auto"/>
        <w:rPr>
          <w:rFonts w:hint="eastAsia" w:ascii="宋体" w:hAnsi="宋体" w:cs="宋体"/>
          <w:color w:val="auto"/>
          <w:highlight w:val="none"/>
        </w:rPr>
        <w:sectPr>
          <w:footerReference r:id="rId3" w:type="default"/>
          <w:footnotePr>
            <w:numFmt w:val="decimalEnclosedCircleChinese"/>
            <w:numRestart w:val="eachPage"/>
          </w:footnotePr>
          <w:type w:val="continuous"/>
          <w:pgSz w:w="11906" w:h="16838"/>
          <w:pgMar w:top="1134" w:right="1134" w:bottom="1134" w:left="1134" w:header="851" w:footer="992" w:gutter="0"/>
          <w:pgNumType w:fmt="decimal"/>
          <w:cols w:space="720" w:num="1"/>
          <w:docGrid w:linePitch="312" w:charSpace="0"/>
        </w:sectPr>
      </w:pPr>
    </w:p>
    <w:p w14:paraId="13B4C4C6">
      <w:pPr>
        <w:pStyle w:val="5"/>
        <w:ind w:firstLine="643" w:firstLineChars="200"/>
        <w:jc w:val="center"/>
        <w:rPr>
          <w:rFonts w:hint="eastAsia" w:ascii="仿宋" w:hAnsi="仿宋" w:eastAsia="仿宋" w:cs="仿宋"/>
          <w:color w:val="auto"/>
          <w:highlight w:val="none"/>
        </w:rPr>
      </w:pPr>
      <w:bookmarkStart w:id="349" w:name="_Toc19130"/>
      <w:bookmarkStart w:id="350" w:name="_Toc8423"/>
      <w:bookmarkStart w:id="351" w:name="_Toc31322"/>
      <w:r>
        <w:rPr>
          <w:rFonts w:hint="eastAsia" w:ascii="仿宋" w:hAnsi="仿宋" w:eastAsia="仿宋" w:cs="仿宋"/>
          <w:color w:val="auto"/>
          <w:highlight w:val="none"/>
        </w:rPr>
        <w:t>第</w:t>
      </w:r>
      <w:r>
        <w:rPr>
          <w:rFonts w:hint="eastAsia" w:ascii="仿宋" w:hAnsi="仿宋" w:eastAsia="仿宋" w:cs="仿宋"/>
          <w:color w:val="auto"/>
          <w:highlight w:val="none"/>
          <w:lang w:val="en-US" w:eastAsia="zh-CN"/>
        </w:rPr>
        <w:t>二</w:t>
      </w:r>
      <w:r>
        <w:rPr>
          <w:rFonts w:hint="eastAsia" w:ascii="仿宋" w:hAnsi="仿宋" w:eastAsia="仿宋" w:cs="仿宋"/>
          <w:color w:val="auto"/>
          <w:highlight w:val="none"/>
        </w:rPr>
        <w:t>节  合同附件格式</w:t>
      </w:r>
      <w:bookmarkEnd w:id="349"/>
      <w:bookmarkEnd w:id="350"/>
      <w:bookmarkEnd w:id="351"/>
    </w:p>
    <w:p w14:paraId="5C9DBD77">
      <w:pPr>
        <w:pStyle w:val="6"/>
        <w:keepNext/>
        <w:keepLines/>
        <w:pageBreakBefore w:val="0"/>
        <w:widowControl w:val="0"/>
        <w:kinsoku/>
        <w:wordWrap/>
        <w:overflowPunct/>
        <w:topLinePunct w:val="0"/>
        <w:autoSpaceDE/>
        <w:autoSpaceDN/>
        <w:bidi w:val="0"/>
        <w:adjustRightInd/>
        <w:snapToGrid/>
        <w:spacing w:before="0" w:after="0"/>
        <w:ind w:firstLine="137"/>
        <w:jc w:val="left"/>
        <w:textAlignment w:val="auto"/>
        <w:rPr>
          <w:rFonts w:hint="eastAsia" w:ascii="仿宋" w:hAnsi="仿宋" w:eastAsia="仿宋" w:cs="仿宋"/>
          <w:color w:val="auto"/>
          <w:highlight w:val="none"/>
        </w:rPr>
      </w:pPr>
      <w:bookmarkStart w:id="352" w:name="_Toc10083"/>
      <w:bookmarkStart w:id="353" w:name="_Toc5887"/>
      <w:bookmarkStart w:id="354" w:name="_Toc13009"/>
      <w:r>
        <w:rPr>
          <w:rFonts w:hint="eastAsia" w:ascii="仿宋" w:hAnsi="仿宋" w:eastAsia="仿宋" w:cs="仿宋"/>
          <w:color w:val="auto"/>
          <w:highlight w:val="none"/>
        </w:rPr>
        <w:t>附件一：合同协议书</w:t>
      </w:r>
      <w:bookmarkEnd w:id="352"/>
      <w:bookmarkEnd w:id="353"/>
      <w:bookmarkEnd w:id="354"/>
    </w:p>
    <w:p w14:paraId="74CCA0F4">
      <w:pPr>
        <w:bidi w:val="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合同协议书</w:t>
      </w:r>
    </w:p>
    <w:p w14:paraId="2866A92E">
      <w:pPr>
        <w:jc w:val="center"/>
        <w:rPr>
          <w:rFonts w:hint="eastAsia"/>
          <w:color w:val="auto"/>
          <w:highlight w:val="none"/>
        </w:rPr>
      </w:pPr>
    </w:p>
    <w:p w14:paraId="56B8F3C8">
      <w:pPr>
        <w:tabs>
          <w:tab w:val="left" w:pos="2440"/>
          <w:tab w:val="left" w:pos="4960"/>
        </w:tabs>
        <w:autoSpaceDE w:val="0"/>
        <w:autoSpaceDN w:val="0"/>
        <w:adjustRightInd w:val="0"/>
        <w:spacing w:line="440" w:lineRule="exact"/>
        <w:ind w:firstLine="480" w:firstLineChars="200"/>
        <w:contextualSpacing/>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u w:val="single"/>
        </w:rPr>
        <w:tab/>
      </w:r>
      <w:r>
        <w:rPr>
          <w:rFonts w:hint="eastAsia" w:ascii="仿宋" w:hAnsi="仿宋" w:eastAsia="仿宋" w:cs="仿宋"/>
          <w:color w:val="auto"/>
          <w:spacing w:val="-2"/>
          <w:kern w:val="0"/>
          <w:sz w:val="24"/>
          <w:szCs w:val="24"/>
          <w:highlight w:val="none"/>
        </w:rPr>
        <w:t>（甲</w:t>
      </w:r>
      <w:r>
        <w:rPr>
          <w:rFonts w:hint="eastAsia" w:ascii="仿宋" w:hAnsi="仿宋" w:eastAsia="仿宋" w:cs="仿宋"/>
          <w:color w:val="auto"/>
          <w:kern w:val="0"/>
          <w:sz w:val="24"/>
          <w:szCs w:val="24"/>
          <w:highlight w:val="none"/>
        </w:rPr>
        <w:t>方名</w:t>
      </w:r>
      <w:r>
        <w:rPr>
          <w:rFonts w:hint="eastAsia" w:ascii="仿宋" w:hAnsi="仿宋" w:eastAsia="仿宋" w:cs="仿宋"/>
          <w:color w:val="auto"/>
          <w:spacing w:val="-2"/>
          <w:kern w:val="0"/>
          <w:sz w:val="24"/>
          <w:szCs w:val="24"/>
          <w:highlight w:val="none"/>
        </w:rPr>
        <w:t>称</w:t>
      </w:r>
      <w:r>
        <w:rPr>
          <w:rFonts w:hint="eastAsia" w:ascii="仿宋" w:hAnsi="仿宋" w:eastAsia="仿宋" w:cs="仿宋"/>
          <w:color w:val="auto"/>
          <w:spacing w:val="-67"/>
          <w:kern w:val="0"/>
          <w:sz w:val="24"/>
          <w:szCs w:val="24"/>
          <w:highlight w:val="none"/>
        </w:rPr>
        <w:t>，</w:t>
      </w:r>
      <w:r>
        <w:rPr>
          <w:rFonts w:hint="eastAsia" w:ascii="仿宋" w:hAnsi="仿宋" w:eastAsia="仿宋" w:cs="仿宋"/>
          <w:color w:val="auto"/>
          <w:spacing w:val="-2"/>
          <w:kern w:val="0"/>
          <w:sz w:val="24"/>
          <w:szCs w:val="24"/>
          <w:highlight w:val="none"/>
        </w:rPr>
        <w:t>以</w:t>
      </w:r>
      <w:r>
        <w:rPr>
          <w:rFonts w:hint="eastAsia" w:ascii="仿宋" w:hAnsi="仿宋" w:eastAsia="仿宋" w:cs="仿宋"/>
          <w:color w:val="auto"/>
          <w:kern w:val="0"/>
          <w:sz w:val="24"/>
          <w:szCs w:val="24"/>
          <w:highlight w:val="none"/>
        </w:rPr>
        <w:t>下</w:t>
      </w:r>
      <w:r>
        <w:rPr>
          <w:rFonts w:hint="eastAsia" w:ascii="仿宋" w:hAnsi="仿宋" w:eastAsia="仿宋" w:cs="仿宋"/>
          <w:color w:val="auto"/>
          <w:spacing w:val="-2"/>
          <w:kern w:val="0"/>
          <w:sz w:val="24"/>
          <w:szCs w:val="24"/>
          <w:highlight w:val="none"/>
        </w:rPr>
        <w:t>简</w:t>
      </w:r>
      <w:r>
        <w:rPr>
          <w:rFonts w:hint="eastAsia" w:ascii="仿宋" w:hAnsi="仿宋" w:eastAsia="仿宋" w:cs="仿宋"/>
          <w:color w:val="auto"/>
          <w:kern w:val="0"/>
          <w:sz w:val="24"/>
          <w:szCs w:val="24"/>
          <w:highlight w:val="none"/>
        </w:rPr>
        <w:t>称“</w:t>
      </w:r>
      <w:r>
        <w:rPr>
          <w:rFonts w:hint="eastAsia" w:ascii="仿宋" w:hAnsi="仿宋" w:eastAsia="仿宋" w:cs="仿宋"/>
          <w:color w:val="auto"/>
          <w:spacing w:val="-2"/>
          <w:kern w:val="0"/>
          <w:sz w:val="24"/>
          <w:szCs w:val="24"/>
          <w:highlight w:val="none"/>
        </w:rPr>
        <w:t>甲</w:t>
      </w:r>
      <w:r>
        <w:rPr>
          <w:rFonts w:hint="eastAsia" w:ascii="仿宋" w:hAnsi="仿宋" w:eastAsia="仿宋" w:cs="仿宋"/>
          <w:color w:val="auto"/>
          <w:kern w:val="0"/>
          <w:sz w:val="24"/>
          <w:szCs w:val="24"/>
          <w:highlight w:val="none"/>
        </w:rPr>
        <w:t>方”</w:t>
      </w:r>
      <w:r>
        <w:rPr>
          <w:rFonts w:hint="eastAsia" w:ascii="仿宋" w:hAnsi="仿宋" w:eastAsia="仿宋" w:cs="仿宋"/>
          <w:color w:val="auto"/>
          <w:spacing w:val="-70"/>
          <w:kern w:val="0"/>
          <w:sz w:val="24"/>
          <w:szCs w:val="24"/>
          <w:highlight w:val="none"/>
        </w:rPr>
        <w:t>）</w:t>
      </w:r>
      <w:r>
        <w:rPr>
          <w:rFonts w:hint="eastAsia" w:ascii="仿宋" w:hAnsi="仿宋" w:eastAsia="仿宋" w:cs="仿宋"/>
          <w:color w:val="auto"/>
          <w:kern w:val="0"/>
          <w:sz w:val="24"/>
          <w:szCs w:val="24"/>
          <w:highlight w:val="none"/>
        </w:rPr>
        <w:t>为获</w:t>
      </w:r>
      <w:r>
        <w:rPr>
          <w:rFonts w:hint="eastAsia" w:ascii="仿宋" w:hAnsi="仿宋" w:eastAsia="仿宋" w:cs="仿宋"/>
          <w:color w:val="auto"/>
          <w:spacing w:val="-2"/>
          <w:kern w:val="0"/>
          <w:sz w:val="24"/>
          <w:szCs w:val="24"/>
          <w:highlight w:val="none"/>
        </w:rPr>
        <w:t>得</w:t>
      </w:r>
      <w:r>
        <w:rPr>
          <w:rFonts w:hint="eastAsia" w:ascii="仿宋" w:hAnsi="仿宋" w:eastAsia="仿宋" w:cs="仿宋"/>
          <w:color w:val="auto"/>
          <w:kern w:val="0"/>
          <w:sz w:val="24"/>
          <w:szCs w:val="24"/>
          <w:highlight w:val="none"/>
          <w:u w:val="single"/>
        </w:rPr>
        <w:tab/>
      </w:r>
      <w:r>
        <w:rPr>
          <w:rFonts w:hint="eastAsia" w:ascii="仿宋" w:hAnsi="仿宋" w:eastAsia="仿宋" w:cs="仿宋"/>
          <w:color w:val="auto"/>
          <w:spacing w:val="-2"/>
          <w:kern w:val="0"/>
          <w:sz w:val="24"/>
          <w:szCs w:val="24"/>
          <w:highlight w:val="none"/>
        </w:rPr>
        <w:t>（</w:t>
      </w:r>
      <w:r>
        <w:rPr>
          <w:rFonts w:hint="eastAsia" w:ascii="仿宋" w:hAnsi="仿宋" w:eastAsia="仿宋" w:cs="仿宋"/>
          <w:color w:val="auto"/>
          <w:spacing w:val="-2"/>
          <w:kern w:val="0"/>
          <w:sz w:val="24"/>
          <w:szCs w:val="24"/>
          <w:highlight w:val="none"/>
          <w:lang w:val="en-US" w:eastAsia="zh-CN"/>
        </w:rPr>
        <w:t>采购</w:t>
      </w:r>
      <w:r>
        <w:rPr>
          <w:rFonts w:hint="eastAsia" w:ascii="仿宋" w:hAnsi="仿宋" w:eastAsia="仿宋" w:cs="仿宋"/>
          <w:color w:val="auto"/>
          <w:spacing w:val="-2"/>
          <w:kern w:val="0"/>
          <w:sz w:val="24"/>
          <w:szCs w:val="24"/>
          <w:highlight w:val="none"/>
        </w:rPr>
        <w:t>项目名</w:t>
      </w:r>
      <w:r>
        <w:rPr>
          <w:rFonts w:hint="eastAsia" w:ascii="仿宋" w:hAnsi="仿宋" w:eastAsia="仿宋" w:cs="仿宋"/>
          <w:color w:val="auto"/>
          <w:kern w:val="0"/>
          <w:sz w:val="24"/>
          <w:szCs w:val="24"/>
          <w:highlight w:val="none"/>
        </w:rPr>
        <w:t>称）合同相关服务，已接受</w:t>
      </w:r>
      <w:r>
        <w:rPr>
          <w:rFonts w:hint="eastAsia" w:ascii="仿宋" w:hAnsi="仿宋" w:eastAsia="仿宋" w:cs="仿宋"/>
          <w:color w:val="auto"/>
          <w:kern w:val="0"/>
          <w:sz w:val="24"/>
          <w:szCs w:val="24"/>
          <w:highlight w:val="none"/>
          <w:u w:val="single"/>
        </w:rPr>
        <w:tab/>
      </w:r>
      <w:r>
        <w:rPr>
          <w:rFonts w:hint="eastAsia" w:ascii="仿宋" w:hAnsi="仿宋" w:eastAsia="仿宋" w:cs="仿宋"/>
          <w:color w:val="auto"/>
          <w:kern w:val="0"/>
          <w:sz w:val="24"/>
          <w:szCs w:val="24"/>
          <w:highlight w:val="none"/>
        </w:rPr>
        <w:t>（乙方名称，以下简称“乙方”）为提供上述合同服务所作的投标</w:t>
      </w:r>
      <w:r>
        <w:rPr>
          <w:rFonts w:hint="eastAsia" w:ascii="仿宋" w:hAnsi="仿宋" w:eastAsia="仿宋" w:cs="仿宋"/>
          <w:color w:val="auto"/>
          <w:spacing w:val="-2"/>
          <w:kern w:val="0"/>
          <w:position w:val="-1"/>
          <w:sz w:val="24"/>
          <w:szCs w:val="24"/>
          <w:highlight w:val="none"/>
        </w:rPr>
        <w:t>，</w:t>
      </w:r>
      <w:r>
        <w:rPr>
          <w:rFonts w:hint="eastAsia" w:ascii="仿宋" w:hAnsi="仿宋" w:eastAsia="仿宋" w:cs="仿宋"/>
          <w:color w:val="auto"/>
          <w:kern w:val="0"/>
          <w:position w:val="-1"/>
          <w:sz w:val="24"/>
          <w:szCs w:val="24"/>
          <w:highlight w:val="none"/>
        </w:rPr>
        <w:t>甲</w:t>
      </w:r>
      <w:r>
        <w:rPr>
          <w:rFonts w:hint="eastAsia" w:ascii="仿宋" w:hAnsi="仿宋" w:eastAsia="仿宋" w:cs="仿宋"/>
          <w:color w:val="auto"/>
          <w:spacing w:val="-2"/>
          <w:kern w:val="0"/>
          <w:position w:val="-1"/>
          <w:sz w:val="24"/>
          <w:szCs w:val="24"/>
          <w:highlight w:val="none"/>
        </w:rPr>
        <w:t>方</w:t>
      </w:r>
      <w:r>
        <w:rPr>
          <w:rFonts w:hint="eastAsia" w:ascii="仿宋" w:hAnsi="仿宋" w:eastAsia="仿宋" w:cs="仿宋"/>
          <w:color w:val="auto"/>
          <w:kern w:val="0"/>
          <w:position w:val="-1"/>
          <w:sz w:val="24"/>
          <w:szCs w:val="24"/>
          <w:highlight w:val="none"/>
        </w:rPr>
        <w:t>和乙方</w:t>
      </w:r>
      <w:r>
        <w:rPr>
          <w:rFonts w:hint="eastAsia" w:ascii="仿宋" w:hAnsi="仿宋" w:eastAsia="仿宋" w:cs="仿宋"/>
          <w:color w:val="auto"/>
          <w:spacing w:val="-2"/>
          <w:kern w:val="0"/>
          <w:position w:val="-1"/>
          <w:sz w:val="24"/>
          <w:szCs w:val="24"/>
          <w:highlight w:val="none"/>
        </w:rPr>
        <w:t>共</w:t>
      </w:r>
      <w:r>
        <w:rPr>
          <w:rFonts w:hint="eastAsia" w:ascii="仿宋" w:hAnsi="仿宋" w:eastAsia="仿宋" w:cs="仿宋"/>
          <w:color w:val="auto"/>
          <w:kern w:val="0"/>
          <w:position w:val="-1"/>
          <w:sz w:val="24"/>
          <w:szCs w:val="24"/>
          <w:highlight w:val="none"/>
        </w:rPr>
        <w:t>同达</w:t>
      </w:r>
      <w:r>
        <w:rPr>
          <w:rFonts w:hint="eastAsia" w:ascii="仿宋" w:hAnsi="仿宋" w:eastAsia="仿宋" w:cs="仿宋"/>
          <w:color w:val="auto"/>
          <w:spacing w:val="-2"/>
          <w:kern w:val="0"/>
          <w:position w:val="-1"/>
          <w:sz w:val="24"/>
          <w:szCs w:val="24"/>
          <w:highlight w:val="none"/>
        </w:rPr>
        <w:t>成</w:t>
      </w:r>
      <w:r>
        <w:rPr>
          <w:rFonts w:hint="eastAsia" w:ascii="仿宋" w:hAnsi="仿宋" w:eastAsia="仿宋" w:cs="仿宋"/>
          <w:color w:val="auto"/>
          <w:kern w:val="0"/>
          <w:position w:val="-1"/>
          <w:sz w:val="24"/>
          <w:szCs w:val="24"/>
          <w:highlight w:val="none"/>
        </w:rPr>
        <w:t>如</w:t>
      </w:r>
      <w:r>
        <w:rPr>
          <w:rFonts w:hint="eastAsia" w:ascii="仿宋" w:hAnsi="仿宋" w:eastAsia="仿宋" w:cs="仿宋"/>
          <w:color w:val="auto"/>
          <w:spacing w:val="-2"/>
          <w:kern w:val="0"/>
          <w:position w:val="-1"/>
          <w:sz w:val="24"/>
          <w:szCs w:val="24"/>
          <w:highlight w:val="none"/>
        </w:rPr>
        <w:t>下</w:t>
      </w:r>
      <w:r>
        <w:rPr>
          <w:rFonts w:hint="eastAsia" w:ascii="仿宋" w:hAnsi="仿宋" w:eastAsia="仿宋" w:cs="仿宋"/>
          <w:color w:val="auto"/>
          <w:kern w:val="0"/>
          <w:position w:val="-1"/>
          <w:sz w:val="24"/>
          <w:szCs w:val="24"/>
          <w:highlight w:val="none"/>
        </w:rPr>
        <w:t>协</w:t>
      </w:r>
      <w:r>
        <w:rPr>
          <w:rFonts w:hint="eastAsia" w:ascii="仿宋" w:hAnsi="仿宋" w:eastAsia="仿宋" w:cs="仿宋"/>
          <w:color w:val="auto"/>
          <w:spacing w:val="-2"/>
          <w:kern w:val="0"/>
          <w:position w:val="-1"/>
          <w:sz w:val="24"/>
          <w:szCs w:val="24"/>
          <w:highlight w:val="none"/>
        </w:rPr>
        <w:t>议</w:t>
      </w:r>
      <w:r>
        <w:rPr>
          <w:rFonts w:hint="eastAsia" w:ascii="仿宋" w:hAnsi="仿宋" w:eastAsia="仿宋" w:cs="仿宋"/>
          <w:color w:val="auto"/>
          <w:kern w:val="0"/>
          <w:position w:val="-1"/>
          <w:sz w:val="24"/>
          <w:szCs w:val="24"/>
          <w:highlight w:val="none"/>
        </w:rPr>
        <w:t>：</w:t>
      </w:r>
    </w:p>
    <w:p w14:paraId="77034FB1">
      <w:pPr>
        <w:tabs>
          <w:tab w:val="left" w:pos="2440"/>
          <w:tab w:val="left" w:pos="4960"/>
        </w:tabs>
        <w:autoSpaceDE w:val="0"/>
        <w:autoSpaceDN w:val="0"/>
        <w:adjustRightInd w:val="0"/>
        <w:spacing w:line="440" w:lineRule="exact"/>
        <w:ind w:firstLine="480" w:firstLineChars="200"/>
        <w:contextualSpacing/>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1.本协议书与下列文件一起构成合同文件：</w:t>
      </w:r>
    </w:p>
    <w:p w14:paraId="3570FAD9">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）本合同及其补充合同、变更协议；</w:t>
      </w:r>
    </w:p>
    <w:p w14:paraId="5D00CA7F">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）成交通知书；</w:t>
      </w:r>
    </w:p>
    <w:p w14:paraId="04175CB6">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文件及附件（含澄清或者修改文件）；</w:t>
      </w:r>
    </w:p>
    <w:p w14:paraId="7B37EF54">
      <w:pPr>
        <w:snapToGrid w:val="0"/>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文件及附件（含澄清或者说明文件）</w:t>
      </w:r>
      <w:r>
        <w:rPr>
          <w:rFonts w:hint="eastAsia" w:ascii="仿宋" w:hAnsi="仿宋" w:eastAsia="仿宋" w:cs="仿宋"/>
          <w:color w:val="auto"/>
          <w:sz w:val="24"/>
          <w:szCs w:val="24"/>
          <w:highlight w:val="none"/>
          <w:lang w:val="en-US" w:eastAsia="zh-CN"/>
        </w:rPr>
        <w:t>;</w:t>
      </w:r>
    </w:p>
    <w:p w14:paraId="0F9BBBBD">
      <w:pPr>
        <w:snapToGrid w:val="0"/>
        <w:spacing w:line="360" w:lineRule="auto"/>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其他合同文件。</w:t>
      </w:r>
    </w:p>
    <w:p w14:paraId="5A48CA91">
      <w:pPr>
        <w:autoSpaceDE w:val="0"/>
        <w:autoSpaceDN w:val="0"/>
        <w:adjustRightInd w:val="0"/>
        <w:spacing w:line="440" w:lineRule="exact"/>
        <w:ind w:firstLine="480" w:firstLineChars="200"/>
        <w:contextualSpacing/>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spacing w:val="-2"/>
          <w:kern w:val="0"/>
          <w:sz w:val="24"/>
          <w:szCs w:val="24"/>
          <w:highlight w:val="none"/>
        </w:rPr>
        <w:t>上</w:t>
      </w:r>
      <w:r>
        <w:rPr>
          <w:rFonts w:hint="eastAsia" w:ascii="仿宋" w:hAnsi="仿宋" w:eastAsia="仿宋" w:cs="仿宋"/>
          <w:color w:val="auto"/>
          <w:kern w:val="0"/>
          <w:sz w:val="24"/>
          <w:szCs w:val="24"/>
          <w:highlight w:val="none"/>
        </w:rPr>
        <w:t>述</w:t>
      </w:r>
      <w:r>
        <w:rPr>
          <w:rFonts w:hint="eastAsia" w:ascii="仿宋" w:hAnsi="仿宋" w:eastAsia="仿宋" w:cs="仿宋"/>
          <w:color w:val="auto"/>
          <w:spacing w:val="-2"/>
          <w:kern w:val="0"/>
          <w:sz w:val="24"/>
          <w:szCs w:val="24"/>
          <w:highlight w:val="none"/>
        </w:rPr>
        <w:t>合</w:t>
      </w:r>
      <w:r>
        <w:rPr>
          <w:rFonts w:hint="eastAsia" w:ascii="仿宋" w:hAnsi="仿宋" w:eastAsia="仿宋" w:cs="仿宋"/>
          <w:color w:val="auto"/>
          <w:kern w:val="0"/>
          <w:sz w:val="24"/>
          <w:szCs w:val="24"/>
          <w:highlight w:val="none"/>
        </w:rPr>
        <w:t>同</w:t>
      </w:r>
      <w:r>
        <w:rPr>
          <w:rFonts w:hint="eastAsia" w:ascii="仿宋" w:hAnsi="仿宋" w:eastAsia="仿宋" w:cs="仿宋"/>
          <w:color w:val="auto"/>
          <w:spacing w:val="-2"/>
          <w:kern w:val="0"/>
          <w:sz w:val="24"/>
          <w:szCs w:val="24"/>
          <w:highlight w:val="none"/>
        </w:rPr>
        <w:t>文</w:t>
      </w:r>
      <w:r>
        <w:rPr>
          <w:rFonts w:hint="eastAsia" w:ascii="仿宋" w:hAnsi="仿宋" w:eastAsia="仿宋" w:cs="仿宋"/>
          <w:color w:val="auto"/>
          <w:kern w:val="0"/>
          <w:sz w:val="24"/>
          <w:szCs w:val="24"/>
          <w:highlight w:val="none"/>
        </w:rPr>
        <w:t>件</w:t>
      </w:r>
      <w:r>
        <w:rPr>
          <w:rFonts w:hint="eastAsia" w:ascii="仿宋" w:hAnsi="仿宋" w:eastAsia="仿宋" w:cs="仿宋"/>
          <w:color w:val="auto"/>
          <w:spacing w:val="-2"/>
          <w:kern w:val="0"/>
          <w:sz w:val="24"/>
          <w:szCs w:val="24"/>
          <w:highlight w:val="none"/>
        </w:rPr>
        <w:t>互</w:t>
      </w:r>
      <w:r>
        <w:rPr>
          <w:rFonts w:hint="eastAsia" w:ascii="仿宋" w:hAnsi="仿宋" w:eastAsia="仿宋" w:cs="仿宋"/>
          <w:color w:val="auto"/>
          <w:kern w:val="0"/>
          <w:sz w:val="24"/>
          <w:szCs w:val="24"/>
          <w:highlight w:val="none"/>
        </w:rPr>
        <w:t>相</w:t>
      </w:r>
      <w:r>
        <w:rPr>
          <w:rFonts w:hint="eastAsia" w:ascii="仿宋" w:hAnsi="仿宋" w:eastAsia="仿宋" w:cs="仿宋"/>
          <w:color w:val="auto"/>
          <w:spacing w:val="-2"/>
          <w:kern w:val="0"/>
          <w:sz w:val="24"/>
          <w:szCs w:val="24"/>
          <w:highlight w:val="none"/>
        </w:rPr>
        <w:t>补充</w:t>
      </w:r>
      <w:r>
        <w:rPr>
          <w:rFonts w:hint="eastAsia" w:ascii="仿宋" w:hAnsi="仿宋" w:eastAsia="仿宋" w:cs="仿宋"/>
          <w:color w:val="auto"/>
          <w:kern w:val="0"/>
          <w:sz w:val="24"/>
          <w:szCs w:val="24"/>
          <w:highlight w:val="none"/>
        </w:rPr>
        <w:t>和解</w:t>
      </w:r>
      <w:r>
        <w:rPr>
          <w:rFonts w:hint="eastAsia" w:ascii="仿宋" w:hAnsi="仿宋" w:eastAsia="仿宋" w:cs="仿宋"/>
          <w:color w:val="auto"/>
          <w:spacing w:val="-2"/>
          <w:kern w:val="0"/>
          <w:sz w:val="24"/>
          <w:szCs w:val="24"/>
          <w:highlight w:val="none"/>
        </w:rPr>
        <w:t>释</w:t>
      </w:r>
      <w:r>
        <w:rPr>
          <w:rFonts w:hint="eastAsia" w:ascii="仿宋" w:hAnsi="仿宋" w:eastAsia="仿宋" w:cs="仿宋"/>
          <w:color w:val="auto"/>
          <w:spacing w:val="-12"/>
          <w:kern w:val="0"/>
          <w:sz w:val="24"/>
          <w:szCs w:val="24"/>
          <w:highlight w:val="none"/>
        </w:rPr>
        <w:t>。</w:t>
      </w:r>
      <w:r>
        <w:rPr>
          <w:rFonts w:hint="eastAsia" w:ascii="仿宋" w:hAnsi="仿宋" w:eastAsia="仿宋" w:cs="仿宋"/>
          <w:color w:val="auto"/>
          <w:spacing w:val="-2"/>
          <w:kern w:val="0"/>
          <w:sz w:val="24"/>
          <w:szCs w:val="24"/>
          <w:highlight w:val="none"/>
        </w:rPr>
        <w:t>如</w:t>
      </w:r>
      <w:r>
        <w:rPr>
          <w:rFonts w:hint="eastAsia" w:ascii="仿宋" w:hAnsi="仿宋" w:eastAsia="仿宋" w:cs="仿宋"/>
          <w:color w:val="auto"/>
          <w:kern w:val="0"/>
          <w:sz w:val="24"/>
          <w:szCs w:val="24"/>
          <w:highlight w:val="none"/>
        </w:rPr>
        <w:t>果</w:t>
      </w:r>
      <w:r>
        <w:rPr>
          <w:rFonts w:hint="eastAsia" w:ascii="仿宋" w:hAnsi="仿宋" w:eastAsia="仿宋" w:cs="仿宋"/>
          <w:color w:val="auto"/>
          <w:spacing w:val="-2"/>
          <w:kern w:val="0"/>
          <w:sz w:val="24"/>
          <w:szCs w:val="24"/>
          <w:highlight w:val="none"/>
        </w:rPr>
        <w:t>合</w:t>
      </w:r>
      <w:r>
        <w:rPr>
          <w:rFonts w:hint="eastAsia" w:ascii="仿宋" w:hAnsi="仿宋" w:eastAsia="仿宋" w:cs="仿宋"/>
          <w:color w:val="auto"/>
          <w:kern w:val="0"/>
          <w:sz w:val="24"/>
          <w:szCs w:val="24"/>
          <w:highlight w:val="none"/>
        </w:rPr>
        <w:t>同</w:t>
      </w:r>
      <w:r>
        <w:rPr>
          <w:rFonts w:hint="eastAsia" w:ascii="仿宋" w:hAnsi="仿宋" w:eastAsia="仿宋" w:cs="仿宋"/>
          <w:color w:val="auto"/>
          <w:spacing w:val="-2"/>
          <w:kern w:val="0"/>
          <w:sz w:val="24"/>
          <w:szCs w:val="24"/>
          <w:highlight w:val="none"/>
        </w:rPr>
        <w:t>文</w:t>
      </w:r>
      <w:r>
        <w:rPr>
          <w:rFonts w:hint="eastAsia" w:ascii="仿宋" w:hAnsi="仿宋" w:eastAsia="仿宋" w:cs="仿宋"/>
          <w:color w:val="auto"/>
          <w:kern w:val="0"/>
          <w:sz w:val="24"/>
          <w:szCs w:val="24"/>
          <w:highlight w:val="none"/>
        </w:rPr>
        <w:t>件</w:t>
      </w:r>
      <w:r>
        <w:rPr>
          <w:rFonts w:hint="eastAsia" w:ascii="仿宋" w:hAnsi="仿宋" w:eastAsia="仿宋" w:cs="仿宋"/>
          <w:color w:val="auto"/>
          <w:spacing w:val="-2"/>
          <w:kern w:val="0"/>
          <w:sz w:val="24"/>
          <w:szCs w:val="24"/>
          <w:highlight w:val="none"/>
        </w:rPr>
        <w:t>之</w:t>
      </w:r>
      <w:r>
        <w:rPr>
          <w:rFonts w:hint="eastAsia" w:ascii="仿宋" w:hAnsi="仿宋" w:eastAsia="仿宋" w:cs="仿宋"/>
          <w:color w:val="auto"/>
          <w:kern w:val="0"/>
          <w:sz w:val="24"/>
          <w:szCs w:val="24"/>
          <w:highlight w:val="none"/>
        </w:rPr>
        <w:t>间存</w:t>
      </w:r>
      <w:r>
        <w:rPr>
          <w:rFonts w:hint="eastAsia" w:ascii="仿宋" w:hAnsi="仿宋" w:eastAsia="仿宋" w:cs="仿宋"/>
          <w:color w:val="auto"/>
          <w:spacing w:val="-2"/>
          <w:kern w:val="0"/>
          <w:sz w:val="24"/>
          <w:szCs w:val="24"/>
          <w:highlight w:val="none"/>
        </w:rPr>
        <w:t>在</w:t>
      </w:r>
      <w:r>
        <w:rPr>
          <w:rFonts w:hint="eastAsia" w:ascii="仿宋" w:hAnsi="仿宋" w:eastAsia="仿宋" w:cs="仿宋"/>
          <w:color w:val="auto"/>
          <w:kern w:val="0"/>
          <w:sz w:val="24"/>
          <w:szCs w:val="24"/>
          <w:highlight w:val="none"/>
        </w:rPr>
        <w:t>矛</w:t>
      </w:r>
      <w:r>
        <w:rPr>
          <w:rFonts w:hint="eastAsia" w:ascii="仿宋" w:hAnsi="仿宋" w:eastAsia="仿宋" w:cs="仿宋"/>
          <w:color w:val="auto"/>
          <w:spacing w:val="-2"/>
          <w:kern w:val="0"/>
          <w:sz w:val="24"/>
          <w:szCs w:val="24"/>
          <w:highlight w:val="none"/>
        </w:rPr>
        <w:t>盾</w:t>
      </w:r>
      <w:r>
        <w:rPr>
          <w:rFonts w:hint="eastAsia" w:ascii="仿宋" w:hAnsi="仿宋" w:eastAsia="仿宋" w:cs="仿宋"/>
          <w:color w:val="auto"/>
          <w:kern w:val="0"/>
          <w:sz w:val="24"/>
          <w:szCs w:val="24"/>
          <w:highlight w:val="none"/>
        </w:rPr>
        <w:t>或</w:t>
      </w:r>
      <w:r>
        <w:rPr>
          <w:rFonts w:hint="eastAsia" w:ascii="仿宋" w:hAnsi="仿宋" w:eastAsia="仿宋" w:cs="仿宋"/>
          <w:color w:val="auto"/>
          <w:spacing w:val="-2"/>
          <w:kern w:val="0"/>
          <w:sz w:val="24"/>
          <w:szCs w:val="24"/>
          <w:highlight w:val="none"/>
        </w:rPr>
        <w:t>不</w:t>
      </w:r>
      <w:r>
        <w:rPr>
          <w:rFonts w:hint="eastAsia" w:ascii="仿宋" w:hAnsi="仿宋" w:eastAsia="仿宋" w:cs="仿宋"/>
          <w:color w:val="auto"/>
          <w:kern w:val="0"/>
          <w:sz w:val="24"/>
          <w:szCs w:val="24"/>
          <w:highlight w:val="none"/>
        </w:rPr>
        <w:t>一</w:t>
      </w:r>
      <w:r>
        <w:rPr>
          <w:rFonts w:hint="eastAsia" w:ascii="仿宋" w:hAnsi="仿宋" w:eastAsia="仿宋" w:cs="仿宋"/>
          <w:color w:val="auto"/>
          <w:spacing w:val="-2"/>
          <w:kern w:val="0"/>
          <w:sz w:val="24"/>
          <w:szCs w:val="24"/>
          <w:highlight w:val="none"/>
        </w:rPr>
        <w:t>致</w:t>
      </w:r>
      <w:r>
        <w:rPr>
          <w:rFonts w:hint="eastAsia" w:ascii="仿宋" w:hAnsi="仿宋" w:eastAsia="仿宋" w:cs="仿宋"/>
          <w:color w:val="auto"/>
          <w:kern w:val="0"/>
          <w:sz w:val="24"/>
          <w:szCs w:val="24"/>
          <w:highlight w:val="none"/>
        </w:rPr>
        <w:t>之</w:t>
      </w:r>
      <w:r>
        <w:rPr>
          <w:rFonts w:hint="eastAsia" w:ascii="仿宋" w:hAnsi="仿宋" w:eastAsia="仿宋" w:cs="仿宋"/>
          <w:color w:val="auto"/>
          <w:spacing w:val="-2"/>
          <w:kern w:val="0"/>
          <w:sz w:val="24"/>
          <w:szCs w:val="24"/>
          <w:highlight w:val="none"/>
        </w:rPr>
        <w:t>处</w:t>
      </w:r>
      <w:r>
        <w:rPr>
          <w:rFonts w:hint="eastAsia" w:ascii="仿宋" w:hAnsi="仿宋" w:eastAsia="仿宋" w:cs="仿宋"/>
          <w:color w:val="auto"/>
          <w:spacing w:val="-12"/>
          <w:kern w:val="0"/>
          <w:sz w:val="24"/>
          <w:szCs w:val="24"/>
          <w:highlight w:val="none"/>
        </w:rPr>
        <w:t>，</w:t>
      </w:r>
      <w:r>
        <w:rPr>
          <w:rFonts w:hint="eastAsia" w:ascii="仿宋" w:hAnsi="仿宋" w:eastAsia="仿宋" w:cs="仿宋"/>
          <w:color w:val="auto"/>
          <w:kern w:val="0"/>
          <w:sz w:val="24"/>
          <w:szCs w:val="24"/>
          <w:highlight w:val="none"/>
        </w:rPr>
        <w:t>以</w:t>
      </w:r>
      <w:r>
        <w:rPr>
          <w:rFonts w:hint="eastAsia" w:ascii="仿宋" w:hAnsi="仿宋" w:eastAsia="仿宋" w:cs="仿宋"/>
          <w:color w:val="auto"/>
          <w:spacing w:val="-2"/>
          <w:kern w:val="0"/>
          <w:sz w:val="24"/>
          <w:szCs w:val="24"/>
          <w:highlight w:val="none"/>
        </w:rPr>
        <w:t>上</w:t>
      </w:r>
      <w:r>
        <w:rPr>
          <w:rFonts w:hint="eastAsia" w:ascii="仿宋" w:hAnsi="仿宋" w:eastAsia="仿宋" w:cs="仿宋"/>
          <w:color w:val="auto"/>
          <w:kern w:val="0"/>
          <w:sz w:val="24"/>
          <w:szCs w:val="24"/>
          <w:highlight w:val="none"/>
        </w:rPr>
        <w:t>述</w:t>
      </w:r>
      <w:r>
        <w:rPr>
          <w:rFonts w:hint="eastAsia" w:ascii="仿宋" w:hAnsi="仿宋" w:eastAsia="仿宋" w:cs="仿宋"/>
          <w:color w:val="auto"/>
          <w:spacing w:val="-2"/>
          <w:kern w:val="0"/>
          <w:sz w:val="24"/>
          <w:szCs w:val="24"/>
          <w:highlight w:val="none"/>
        </w:rPr>
        <w:t>文</w:t>
      </w:r>
      <w:r>
        <w:rPr>
          <w:rFonts w:hint="eastAsia" w:ascii="仿宋" w:hAnsi="仿宋" w:eastAsia="仿宋" w:cs="仿宋"/>
          <w:color w:val="auto"/>
          <w:kern w:val="0"/>
          <w:sz w:val="24"/>
          <w:szCs w:val="24"/>
          <w:highlight w:val="none"/>
        </w:rPr>
        <w:t>件的排</w:t>
      </w:r>
      <w:r>
        <w:rPr>
          <w:rFonts w:hint="eastAsia" w:ascii="仿宋" w:hAnsi="仿宋" w:eastAsia="仿宋" w:cs="仿宋"/>
          <w:color w:val="auto"/>
          <w:spacing w:val="-2"/>
          <w:kern w:val="0"/>
          <w:sz w:val="24"/>
          <w:szCs w:val="24"/>
          <w:highlight w:val="none"/>
        </w:rPr>
        <w:t>列</w:t>
      </w:r>
      <w:r>
        <w:rPr>
          <w:rFonts w:hint="eastAsia" w:ascii="仿宋" w:hAnsi="仿宋" w:eastAsia="仿宋" w:cs="仿宋"/>
          <w:color w:val="auto"/>
          <w:kern w:val="0"/>
          <w:sz w:val="24"/>
          <w:szCs w:val="24"/>
          <w:highlight w:val="none"/>
        </w:rPr>
        <w:t>顺</w:t>
      </w:r>
      <w:r>
        <w:rPr>
          <w:rFonts w:hint="eastAsia" w:ascii="仿宋" w:hAnsi="仿宋" w:eastAsia="仿宋" w:cs="仿宋"/>
          <w:color w:val="auto"/>
          <w:spacing w:val="-2"/>
          <w:kern w:val="0"/>
          <w:sz w:val="24"/>
          <w:szCs w:val="24"/>
          <w:highlight w:val="none"/>
        </w:rPr>
        <w:t>序</w:t>
      </w:r>
      <w:r>
        <w:rPr>
          <w:rFonts w:hint="eastAsia" w:ascii="仿宋" w:hAnsi="仿宋" w:eastAsia="仿宋" w:cs="仿宋"/>
          <w:color w:val="auto"/>
          <w:kern w:val="0"/>
          <w:sz w:val="24"/>
          <w:szCs w:val="24"/>
          <w:highlight w:val="none"/>
        </w:rPr>
        <w:t>在</w:t>
      </w:r>
      <w:r>
        <w:rPr>
          <w:rFonts w:hint="eastAsia" w:ascii="仿宋" w:hAnsi="仿宋" w:eastAsia="仿宋" w:cs="仿宋"/>
          <w:color w:val="auto"/>
          <w:spacing w:val="-2"/>
          <w:kern w:val="0"/>
          <w:sz w:val="24"/>
          <w:szCs w:val="24"/>
          <w:highlight w:val="none"/>
        </w:rPr>
        <w:t>先</w:t>
      </w:r>
      <w:r>
        <w:rPr>
          <w:rFonts w:hint="eastAsia" w:ascii="仿宋" w:hAnsi="仿宋" w:eastAsia="仿宋" w:cs="仿宋"/>
          <w:color w:val="auto"/>
          <w:kern w:val="0"/>
          <w:sz w:val="24"/>
          <w:szCs w:val="24"/>
          <w:highlight w:val="none"/>
        </w:rPr>
        <w:t>者</w:t>
      </w:r>
      <w:r>
        <w:rPr>
          <w:rFonts w:hint="eastAsia" w:ascii="仿宋" w:hAnsi="仿宋" w:eastAsia="仿宋" w:cs="仿宋"/>
          <w:color w:val="auto"/>
          <w:spacing w:val="-2"/>
          <w:kern w:val="0"/>
          <w:sz w:val="24"/>
          <w:szCs w:val="24"/>
          <w:highlight w:val="none"/>
        </w:rPr>
        <w:t>为</w:t>
      </w:r>
      <w:r>
        <w:rPr>
          <w:rFonts w:hint="eastAsia" w:ascii="仿宋" w:hAnsi="仿宋" w:eastAsia="仿宋" w:cs="仿宋"/>
          <w:color w:val="auto"/>
          <w:kern w:val="0"/>
          <w:sz w:val="24"/>
          <w:szCs w:val="24"/>
          <w:highlight w:val="none"/>
        </w:rPr>
        <w:t>准。</w:t>
      </w:r>
    </w:p>
    <w:p w14:paraId="3B489C13">
      <w:pPr>
        <w:tabs>
          <w:tab w:val="left" w:pos="4980"/>
          <w:tab w:val="left" w:pos="6760"/>
        </w:tabs>
        <w:autoSpaceDE w:val="0"/>
        <w:autoSpaceDN w:val="0"/>
        <w:adjustRightInd w:val="0"/>
        <w:spacing w:line="440" w:lineRule="exact"/>
        <w:ind w:firstLine="480" w:firstLineChars="200"/>
        <w:contextualSpacing/>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w:t>
      </w:r>
      <w:r>
        <w:rPr>
          <w:rFonts w:hint="eastAsia" w:ascii="仿宋" w:hAnsi="仿宋" w:eastAsia="仿宋" w:cs="仿宋"/>
          <w:color w:val="auto"/>
          <w:spacing w:val="-2"/>
          <w:kern w:val="0"/>
          <w:sz w:val="24"/>
          <w:szCs w:val="24"/>
          <w:highlight w:val="none"/>
        </w:rPr>
        <w:t>签</w:t>
      </w:r>
      <w:r>
        <w:rPr>
          <w:rFonts w:hint="eastAsia" w:ascii="仿宋" w:hAnsi="仿宋" w:eastAsia="仿宋" w:cs="仿宋"/>
          <w:color w:val="auto"/>
          <w:kern w:val="0"/>
          <w:sz w:val="24"/>
          <w:szCs w:val="24"/>
          <w:highlight w:val="none"/>
        </w:rPr>
        <w:t>约</w:t>
      </w:r>
      <w:r>
        <w:rPr>
          <w:rFonts w:hint="eastAsia" w:ascii="仿宋" w:hAnsi="仿宋" w:eastAsia="仿宋" w:cs="仿宋"/>
          <w:color w:val="auto"/>
          <w:spacing w:val="-2"/>
          <w:kern w:val="0"/>
          <w:sz w:val="24"/>
          <w:szCs w:val="24"/>
          <w:highlight w:val="none"/>
        </w:rPr>
        <w:t>合</w:t>
      </w:r>
      <w:r>
        <w:rPr>
          <w:rFonts w:hint="eastAsia" w:ascii="仿宋" w:hAnsi="仿宋" w:eastAsia="仿宋" w:cs="仿宋"/>
          <w:color w:val="auto"/>
          <w:kern w:val="0"/>
          <w:sz w:val="24"/>
          <w:szCs w:val="24"/>
          <w:highlight w:val="none"/>
        </w:rPr>
        <w:t>同</w:t>
      </w:r>
      <w:r>
        <w:rPr>
          <w:rFonts w:hint="eastAsia" w:ascii="仿宋" w:hAnsi="仿宋" w:eastAsia="仿宋" w:cs="仿宋"/>
          <w:color w:val="auto"/>
          <w:spacing w:val="-2"/>
          <w:kern w:val="0"/>
          <w:sz w:val="24"/>
          <w:szCs w:val="24"/>
          <w:highlight w:val="none"/>
        </w:rPr>
        <w:t>价</w:t>
      </w:r>
      <w:r>
        <w:rPr>
          <w:rFonts w:hint="eastAsia" w:ascii="仿宋" w:hAnsi="仿宋" w:eastAsia="仿宋" w:cs="仿宋"/>
          <w:color w:val="auto"/>
          <w:kern w:val="0"/>
          <w:sz w:val="24"/>
          <w:szCs w:val="24"/>
          <w:highlight w:val="none"/>
        </w:rPr>
        <w:t>：</w:t>
      </w:r>
      <w:r>
        <w:rPr>
          <w:rFonts w:hint="eastAsia" w:ascii="仿宋" w:hAnsi="仿宋" w:eastAsia="仿宋" w:cs="仿宋"/>
          <w:color w:val="auto"/>
          <w:spacing w:val="-2"/>
          <w:kern w:val="0"/>
          <w:sz w:val="24"/>
          <w:szCs w:val="24"/>
          <w:highlight w:val="none"/>
        </w:rPr>
        <w:t>人</w:t>
      </w:r>
      <w:r>
        <w:rPr>
          <w:rFonts w:hint="eastAsia" w:ascii="仿宋" w:hAnsi="仿宋" w:eastAsia="仿宋" w:cs="仿宋"/>
          <w:color w:val="auto"/>
          <w:kern w:val="0"/>
          <w:sz w:val="24"/>
          <w:szCs w:val="24"/>
          <w:highlight w:val="none"/>
        </w:rPr>
        <w:t>民</w:t>
      </w:r>
      <w:r>
        <w:rPr>
          <w:rFonts w:hint="eastAsia" w:ascii="仿宋" w:hAnsi="仿宋" w:eastAsia="仿宋" w:cs="仿宋"/>
          <w:color w:val="auto"/>
          <w:spacing w:val="-2"/>
          <w:kern w:val="0"/>
          <w:sz w:val="24"/>
          <w:szCs w:val="24"/>
          <w:highlight w:val="none"/>
        </w:rPr>
        <w:t>币（</w:t>
      </w:r>
      <w:r>
        <w:rPr>
          <w:rFonts w:hint="eastAsia" w:ascii="仿宋" w:hAnsi="仿宋" w:eastAsia="仿宋" w:cs="仿宋"/>
          <w:color w:val="auto"/>
          <w:kern w:val="0"/>
          <w:sz w:val="24"/>
          <w:szCs w:val="24"/>
          <w:highlight w:val="none"/>
        </w:rPr>
        <w:t>大写</w:t>
      </w:r>
      <w:r>
        <w:rPr>
          <w:rFonts w:hint="eastAsia" w:ascii="仿宋" w:hAnsi="仿宋" w:eastAsia="仿宋" w:cs="仿宋"/>
          <w:color w:val="auto"/>
          <w:spacing w:val="-2"/>
          <w:kern w:val="0"/>
          <w:sz w:val="24"/>
          <w:szCs w:val="24"/>
          <w:highlight w:val="none"/>
        </w:rPr>
        <w:t>）</w:t>
      </w:r>
      <w:r>
        <w:rPr>
          <w:rFonts w:hint="eastAsia" w:ascii="仿宋" w:hAnsi="仿宋" w:eastAsia="仿宋" w:cs="仿宋"/>
          <w:color w:val="auto"/>
          <w:kern w:val="0"/>
          <w:sz w:val="24"/>
          <w:szCs w:val="24"/>
          <w:highlight w:val="none"/>
          <w:u w:val="single"/>
        </w:rPr>
        <w:tab/>
      </w:r>
      <w:r>
        <w:rPr>
          <w:rFonts w:hint="eastAsia" w:ascii="仿宋" w:hAnsi="仿宋" w:eastAsia="仿宋" w:cs="仿宋"/>
          <w:color w:val="auto"/>
          <w:spacing w:val="-2"/>
          <w:kern w:val="0"/>
          <w:sz w:val="24"/>
          <w:szCs w:val="24"/>
          <w:highlight w:val="none"/>
        </w:rPr>
        <w:t>（</w:t>
      </w:r>
      <w:r>
        <w:rPr>
          <w:rFonts w:hint="eastAsia" w:ascii="仿宋" w:hAnsi="仿宋" w:eastAsia="仿宋" w:cs="仿宋"/>
          <w:color w:val="auto"/>
          <w:spacing w:val="-61"/>
          <w:w w:val="156"/>
          <w:kern w:val="0"/>
          <w:sz w:val="24"/>
          <w:szCs w:val="24"/>
          <w:highlight w:val="none"/>
        </w:rPr>
        <w:t>¥</w:t>
      </w:r>
      <w:r>
        <w:rPr>
          <w:rFonts w:hint="eastAsia" w:ascii="仿宋" w:hAnsi="仿宋" w:eastAsia="仿宋" w:cs="仿宋"/>
          <w:color w:val="auto"/>
          <w:kern w:val="0"/>
          <w:sz w:val="24"/>
          <w:szCs w:val="24"/>
          <w:highlight w:val="none"/>
          <w:u w:val="single"/>
        </w:rPr>
        <w:tab/>
      </w:r>
      <w:r>
        <w:rPr>
          <w:rFonts w:hint="eastAsia" w:ascii="仿宋" w:hAnsi="仿宋" w:eastAsia="仿宋" w:cs="仿宋"/>
          <w:color w:val="auto"/>
          <w:spacing w:val="-106"/>
          <w:kern w:val="0"/>
          <w:sz w:val="24"/>
          <w:szCs w:val="24"/>
          <w:highlight w:val="none"/>
        </w:rPr>
        <w:t>）</w:t>
      </w:r>
      <w:r>
        <w:rPr>
          <w:rFonts w:hint="eastAsia" w:ascii="仿宋" w:hAnsi="仿宋" w:eastAsia="仿宋" w:cs="仿宋"/>
          <w:color w:val="auto"/>
          <w:kern w:val="0"/>
          <w:sz w:val="24"/>
          <w:szCs w:val="24"/>
          <w:highlight w:val="none"/>
        </w:rPr>
        <w:t>。</w:t>
      </w:r>
    </w:p>
    <w:p w14:paraId="1DEE9F11">
      <w:pPr>
        <w:autoSpaceDE w:val="0"/>
        <w:autoSpaceDN w:val="0"/>
        <w:adjustRightInd w:val="0"/>
        <w:spacing w:line="440" w:lineRule="exact"/>
        <w:ind w:firstLine="480" w:firstLineChars="200"/>
        <w:contextualSpacing/>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w:t>
      </w:r>
      <w:r>
        <w:rPr>
          <w:rFonts w:hint="eastAsia" w:ascii="仿宋" w:hAnsi="仿宋" w:eastAsia="仿宋" w:cs="仿宋"/>
          <w:color w:val="auto"/>
          <w:spacing w:val="-2"/>
          <w:kern w:val="0"/>
          <w:sz w:val="24"/>
          <w:szCs w:val="24"/>
          <w:highlight w:val="none"/>
        </w:rPr>
        <w:t>乙</w:t>
      </w:r>
      <w:r>
        <w:rPr>
          <w:rFonts w:hint="eastAsia" w:ascii="仿宋" w:hAnsi="仿宋" w:eastAsia="仿宋" w:cs="仿宋"/>
          <w:color w:val="auto"/>
          <w:kern w:val="0"/>
          <w:sz w:val="24"/>
          <w:szCs w:val="24"/>
          <w:highlight w:val="none"/>
        </w:rPr>
        <w:t>方</w:t>
      </w:r>
      <w:r>
        <w:rPr>
          <w:rFonts w:hint="eastAsia" w:ascii="仿宋" w:hAnsi="仿宋" w:eastAsia="仿宋" w:cs="仿宋"/>
          <w:color w:val="auto"/>
          <w:spacing w:val="-2"/>
          <w:kern w:val="0"/>
          <w:sz w:val="24"/>
          <w:szCs w:val="24"/>
          <w:highlight w:val="none"/>
        </w:rPr>
        <w:t>承</w:t>
      </w:r>
      <w:r>
        <w:rPr>
          <w:rFonts w:hint="eastAsia" w:ascii="仿宋" w:hAnsi="仿宋" w:eastAsia="仿宋" w:cs="仿宋"/>
          <w:color w:val="auto"/>
          <w:kern w:val="0"/>
          <w:sz w:val="24"/>
          <w:szCs w:val="24"/>
          <w:highlight w:val="none"/>
        </w:rPr>
        <w:t>诺</w:t>
      </w:r>
      <w:r>
        <w:rPr>
          <w:rFonts w:hint="eastAsia" w:ascii="仿宋" w:hAnsi="仿宋" w:eastAsia="仿宋" w:cs="仿宋"/>
          <w:color w:val="auto"/>
          <w:spacing w:val="-2"/>
          <w:kern w:val="0"/>
          <w:sz w:val="24"/>
          <w:szCs w:val="24"/>
          <w:highlight w:val="none"/>
        </w:rPr>
        <w:t>保</w:t>
      </w:r>
      <w:r>
        <w:rPr>
          <w:rFonts w:hint="eastAsia" w:ascii="仿宋" w:hAnsi="仿宋" w:eastAsia="仿宋" w:cs="仿宋"/>
          <w:color w:val="auto"/>
          <w:kern w:val="0"/>
          <w:sz w:val="24"/>
          <w:szCs w:val="24"/>
          <w:highlight w:val="none"/>
        </w:rPr>
        <w:t>证</w:t>
      </w:r>
      <w:r>
        <w:rPr>
          <w:rFonts w:hint="eastAsia" w:ascii="仿宋" w:hAnsi="仿宋" w:eastAsia="仿宋" w:cs="仿宋"/>
          <w:color w:val="auto"/>
          <w:spacing w:val="-2"/>
          <w:kern w:val="0"/>
          <w:sz w:val="24"/>
          <w:szCs w:val="24"/>
          <w:highlight w:val="none"/>
        </w:rPr>
        <w:t>完</w:t>
      </w:r>
      <w:r>
        <w:rPr>
          <w:rFonts w:hint="eastAsia" w:ascii="仿宋" w:hAnsi="仿宋" w:eastAsia="仿宋" w:cs="仿宋"/>
          <w:color w:val="auto"/>
          <w:kern w:val="0"/>
          <w:sz w:val="24"/>
          <w:szCs w:val="24"/>
          <w:highlight w:val="none"/>
        </w:rPr>
        <w:t>全</w:t>
      </w:r>
      <w:r>
        <w:rPr>
          <w:rFonts w:hint="eastAsia" w:ascii="仿宋" w:hAnsi="仿宋" w:eastAsia="仿宋" w:cs="仿宋"/>
          <w:color w:val="auto"/>
          <w:spacing w:val="-2"/>
          <w:kern w:val="0"/>
          <w:sz w:val="24"/>
          <w:szCs w:val="24"/>
          <w:highlight w:val="none"/>
        </w:rPr>
        <w:t>按照</w:t>
      </w:r>
      <w:r>
        <w:rPr>
          <w:rFonts w:hint="eastAsia" w:ascii="仿宋" w:hAnsi="仿宋" w:eastAsia="仿宋" w:cs="仿宋"/>
          <w:color w:val="auto"/>
          <w:kern w:val="0"/>
          <w:sz w:val="24"/>
          <w:szCs w:val="24"/>
          <w:highlight w:val="none"/>
        </w:rPr>
        <w:t>合同</w:t>
      </w:r>
      <w:r>
        <w:rPr>
          <w:rFonts w:hint="eastAsia" w:ascii="仿宋" w:hAnsi="仿宋" w:eastAsia="仿宋" w:cs="仿宋"/>
          <w:color w:val="auto"/>
          <w:spacing w:val="-2"/>
          <w:kern w:val="0"/>
          <w:sz w:val="24"/>
          <w:szCs w:val="24"/>
          <w:highlight w:val="none"/>
        </w:rPr>
        <w:t>约</w:t>
      </w:r>
      <w:r>
        <w:rPr>
          <w:rFonts w:hint="eastAsia" w:ascii="仿宋" w:hAnsi="仿宋" w:eastAsia="仿宋" w:cs="仿宋"/>
          <w:color w:val="auto"/>
          <w:kern w:val="0"/>
          <w:sz w:val="24"/>
          <w:szCs w:val="24"/>
          <w:highlight w:val="none"/>
        </w:rPr>
        <w:t>定</w:t>
      </w:r>
      <w:r>
        <w:rPr>
          <w:rFonts w:hint="eastAsia" w:ascii="仿宋" w:hAnsi="仿宋" w:eastAsia="仿宋" w:cs="仿宋"/>
          <w:color w:val="auto"/>
          <w:spacing w:val="-2"/>
          <w:kern w:val="0"/>
          <w:sz w:val="24"/>
          <w:szCs w:val="24"/>
          <w:highlight w:val="none"/>
        </w:rPr>
        <w:t>提</w:t>
      </w:r>
      <w:r>
        <w:rPr>
          <w:rFonts w:hint="eastAsia" w:ascii="仿宋" w:hAnsi="仿宋" w:eastAsia="仿宋" w:cs="仿宋"/>
          <w:color w:val="auto"/>
          <w:kern w:val="0"/>
          <w:sz w:val="24"/>
          <w:szCs w:val="24"/>
          <w:highlight w:val="none"/>
        </w:rPr>
        <w:t>供合同服务。</w:t>
      </w:r>
    </w:p>
    <w:p w14:paraId="5E06BEF5">
      <w:pPr>
        <w:autoSpaceDE w:val="0"/>
        <w:autoSpaceDN w:val="0"/>
        <w:adjustRightInd w:val="0"/>
        <w:spacing w:line="440" w:lineRule="exact"/>
        <w:ind w:firstLine="480" w:firstLineChars="200"/>
        <w:contextualSpacing/>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w:t>
      </w:r>
      <w:r>
        <w:rPr>
          <w:rFonts w:hint="eastAsia" w:ascii="仿宋" w:hAnsi="仿宋" w:eastAsia="仿宋" w:cs="仿宋"/>
          <w:color w:val="auto"/>
          <w:spacing w:val="-2"/>
          <w:kern w:val="0"/>
          <w:sz w:val="24"/>
          <w:szCs w:val="24"/>
          <w:highlight w:val="none"/>
        </w:rPr>
        <w:t>甲</w:t>
      </w:r>
      <w:r>
        <w:rPr>
          <w:rFonts w:hint="eastAsia" w:ascii="仿宋" w:hAnsi="仿宋" w:eastAsia="仿宋" w:cs="仿宋"/>
          <w:color w:val="auto"/>
          <w:kern w:val="0"/>
          <w:sz w:val="24"/>
          <w:szCs w:val="24"/>
          <w:highlight w:val="none"/>
        </w:rPr>
        <w:t>方</w:t>
      </w:r>
      <w:r>
        <w:rPr>
          <w:rFonts w:hint="eastAsia" w:ascii="仿宋" w:hAnsi="仿宋" w:eastAsia="仿宋" w:cs="仿宋"/>
          <w:color w:val="auto"/>
          <w:spacing w:val="-2"/>
          <w:kern w:val="0"/>
          <w:sz w:val="24"/>
          <w:szCs w:val="24"/>
          <w:highlight w:val="none"/>
        </w:rPr>
        <w:t>承</w:t>
      </w:r>
      <w:r>
        <w:rPr>
          <w:rFonts w:hint="eastAsia" w:ascii="仿宋" w:hAnsi="仿宋" w:eastAsia="仿宋" w:cs="仿宋"/>
          <w:color w:val="auto"/>
          <w:kern w:val="0"/>
          <w:sz w:val="24"/>
          <w:szCs w:val="24"/>
          <w:highlight w:val="none"/>
        </w:rPr>
        <w:t>诺</w:t>
      </w:r>
      <w:r>
        <w:rPr>
          <w:rFonts w:hint="eastAsia" w:ascii="仿宋" w:hAnsi="仿宋" w:eastAsia="仿宋" w:cs="仿宋"/>
          <w:color w:val="auto"/>
          <w:spacing w:val="-2"/>
          <w:kern w:val="0"/>
          <w:sz w:val="24"/>
          <w:szCs w:val="24"/>
          <w:highlight w:val="none"/>
        </w:rPr>
        <w:t>保</w:t>
      </w:r>
      <w:r>
        <w:rPr>
          <w:rFonts w:hint="eastAsia" w:ascii="仿宋" w:hAnsi="仿宋" w:eastAsia="仿宋" w:cs="仿宋"/>
          <w:color w:val="auto"/>
          <w:kern w:val="0"/>
          <w:sz w:val="24"/>
          <w:szCs w:val="24"/>
          <w:highlight w:val="none"/>
        </w:rPr>
        <w:t>证</w:t>
      </w:r>
      <w:r>
        <w:rPr>
          <w:rFonts w:hint="eastAsia" w:ascii="仿宋" w:hAnsi="仿宋" w:eastAsia="仿宋" w:cs="仿宋"/>
          <w:color w:val="auto"/>
          <w:spacing w:val="-2"/>
          <w:kern w:val="0"/>
          <w:sz w:val="24"/>
          <w:szCs w:val="24"/>
          <w:highlight w:val="none"/>
        </w:rPr>
        <w:t>按</w:t>
      </w:r>
      <w:r>
        <w:rPr>
          <w:rFonts w:hint="eastAsia" w:ascii="仿宋" w:hAnsi="仿宋" w:eastAsia="仿宋" w:cs="仿宋"/>
          <w:color w:val="auto"/>
          <w:kern w:val="0"/>
          <w:sz w:val="24"/>
          <w:szCs w:val="24"/>
          <w:highlight w:val="none"/>
        </w:rPr>
        <w:t>照</w:t>
      </w:r>
      <w:r>
        <w:rPr>
          <w:rFonts w:hint="eastAsia" w:ascii="仿宋" w:hAnsi="仿宋" w:eastAsia="仿宋" w:cs="仿宋"/>
          <w:color w:val="auto"/>
          <w:spacing w:val="-2"/>
          <w:kern w:val="0"/>
          <w:sz w:val="24"/>
          <w:szCs w:val="24"/>
          <w:highlight w:val="none"/>
        </w:rPr>
        <w:t>合同</w:t>
      </w:r>
      <w:r>
        <w:rPr>
          <w:rFonts w:hint="eastAsia" w:ascii="仿宋" w:hAnsi="仿宋" w:eastAsia="仿宋" w:cs="仿宋"/>
          <w:color w:val="auto"/>
          <w:kern w:val="0"/>
          <w:sz w:val="24"/>
          <w:szCs w:val="24"/>
          <w:highlight w:val="none"/>
        </w:rPr>
        <w:t>约定</w:t>
      </w:r>
      <w:r>
        <w:rPr>
          <w:rFonts w:hint="eastAsia" w:ascii="仿宋" w:hAnsi="仿宋" w:eastAsia="仿宋" w:cs="仿宋"/>
          <w:color w:val="auto"/>
          <w:spacing w:val="-2"/>
          <w:kern w:val="0"/>
          <w:sz w:val="24"/>
          <w:szCs w:val="24"/>
          <w:highlight w:val="none"/>
        </w:rPr>
        <w:t>的</w:t>
      </w:r>
      <w:r>
        <w:rPr>
          <w:rFonts w:hint="eastAsia" w:ascii="仿宋" w:hAnsi="仿宋" w:eastAsia="仿宋" w:cs="仿宋"/>
          <w:color w:val="auto"/>
          <w:kern w:val="0"/>
          <w:sz w:val="24"/>
          <w:szCs w:val="24"/>
          <w:highlight w:val="none"/>
        </w:rPr>
        <w:t>条</w:t>
      </w:r>
      <w:r>
        <w:rPr>
          <w:rFonts w:hint="eastAsia" w:ascii="仿宋" w:hAnsi="仿宋" w:eastAsia="仿宋" w:cs="仿宋"/>
          <w:color w:val="auto"/>
          <w:spacing w:val="-2"/>
          <w:kern w:val="0"/>
          <w:sz w:val="24"/>
          <w:szCs w:val="24"/>
          <w:highlight w:val="none"/>
        </w:rPr>
        <w:t>件</w:t>
      </w:r>
      <w:r>
        <w:rPr>
          <w:rFonts w:hint="eastAsia" w:ascii="仿宋" w:hAnsi="仿宋" w:eastAsia="仿宋" w:cs="仿宋"/>
          <w:color w:val="auto"/>
          <w:kern w:val="0"/>
          <w:sz w:val="24"/>
          <w:szCs w:val="24"/>
          <w:highlight w:val="none"/>
        </w:rPr>
        <w:t>、</w:t>
      </w:r>
      <w:r>
        <w:rPr>
          <w:rFonts w:hint="eastAsia" w:ascii="仿宋" w:hAnsi="仿宋" w:eastAsia="仿宋" w:cs="仿宋"/>
          <w:color w:val="auto"/>
          <w:spacing w:val="-2"/>
          <w:kern w:val="0"/>
          <w:sz w:val="24"/>
          <w:szCs w:val="24"/>
          <w:highlight w:val="none"/>
        </w:rPr>
        <w:t>时</w:t>
      </w:r>
      <w:r>
        <w:rPr>
          <w:rFonts w:hint="eastAsia" w:ascii="仿宋" w:hAnsi="仿宋" w:eastAsia="仿宋" w:cs="仿宋"/>
          <w:color w:val="auto"/>
          <w:kern w:val="0"/>
          <w:sz w:val="24"/>
          <w:szCs w:val="24"/>
          <w:highlight w:val="none"/>
        </w:rPr>
        <w:t>间</w:t>
      </w:r>
      <w:r>
        <w:rPr>
          <w:rFonts w:hint="eastAsia" w:ascii="仿宋" w:hAnsi="仿宋" w:eastAsia="仿宋" w:cs="仿宋"/>
          <w:color w:val="auto"/>
          <w:spacing w:val="-2"/>
          <w:kern w:val="0"/>
          <w:sz w:val="24"/>
          <w:szCs w:val="24"/>
          <w:highlight w:val="none"/>
        </w:rPr>
        <w:t>和</w:t>
      </w:r>
      <w:r>
        <w:rPr>
          <w:rFonts w:hint="eastAsia" w:ascii="仿宋" w:hAnsi="仿宋" w:eastAsia="仿宋" w:cs="仿宋"/>
          <w:color w:val="auto"/>
          <w:kern w:val="0"/>
          <w:sz w:val="24"/>
          <w:szCs w:val="24"/>
          <w:highlight w:val="none"/>
        </w:rPr>
        <w:t>方</w:t>
      </w:r>
      <w:r>
        <w:rPr>
          <w:rFonts w:hint="eastAsia" w:ascii="仿宋" w:hAnsi="仿宋" w:eastAsia="仿宋" w:cs="仿宋"/>
          <w:color w:val="auto"/>
          <w:spacing w:val="-2"/>
          <w:kern w:val="0"/>
          <w:sz w:val="24"/>
          <w:szCs w:val="24"/>
          <w:highlight w:val="none"/>
        </w:rPr>
        <w:t>式</w:t>
      </w:r>
      <w:r>
        <w:rPr>
          <w:rFonts w:hint="eastAsia" w:ascii="仿宋" w:hAnsi="仿宋" w:eastAsia="仿宋" w:cs="仿宋"/>
          <w:color w:val="auto"/>
          <w:kern w:val="0"/>
          <w:sz w:val="24"/>
          <w:szCs w:val="24"/>
          <w:highlight w:val="none"/>
        </w:rPr>
        <w:t>向乙</w:t>
      </w:r>
      <w:r>
        <w:rPr>
          <w:rFonts w:hint="eastAsia" w:ascii="仿宋" w:hAnsi="仿宋" w:eastAsia="仿宋" w:cs="仿宋"/>
          <w:color w:val="auto"/>
          <w:spacing w:val="-2"/>
          <w:kern w:val="0"/>
          <w:sz w:val="24"/>
          <w:szCs w:val="24"/>
          <w:highlight w:val="none"/>
        </w:rPr>
        <w:t>方</w:t>
      </w:r>
      <w:r>
        <w:rPr>
          <w:rFonts w:hint="eastAsia" w:ascii="仿宋" w:hAnsi="仿宋" w:eastAsia="仿宋" w:cs="仿宋"/>
          <w:color w:val="auto"/>
          <w:kern w:val="0"/>
          <w:sz w:val="24"/>
          <w:szCs w:val="24"/>
          <w:highlight w:val="none"/>
        </w:rPr>
        <w:t>支</w:t>
      </w:r>
      <w:r>
        <w:rPr>
          <w:rFonts w:hint="eastAsia" w:ascii="仿宋" w:hAnsi="仿宋" w:eastAsia="仿宋" w:cs="仿宋"/>
          <w:color w:val="auto"/>
          <w:spacing w:val="-2"/>
          <w:kern w:val="0"/>
          <w:sz w:val="24"/>
          <w:szCs w:val="24"/>
          <w:highlight w:val="none"/>
        </w:rPr>
        <w:t>付</w:t>
      </w:r>
      <w:r>
        <w:rPr>
          <w:rFonts w:hint="eastAsia" w:ascii="仿宋" w:hAnsi="仿宋" w:eastAsia="仿宋" w:cs="仿宋"/>
          <w:color w:val="auto"/>
          <w:kern w:val="0"/>
          <w:sz w:val="24"/>
          <w:szCs w:val="24"/>
          <w:highlight w:val="none"/>
        </w:rPr>
        <w:t>合</w:t>
      </w:r>
      <w:r>
        <w:rPr>
          <w:rFonts w:hint="eastAsia" w:ascii="仿宋" w:hAnsi="仿宋" w:eastAsia="仿宋" w:cs="仿宋"/>
          <w:color w:val="auto"/>
          <w:spacing w:val="-2"/>
          <w:kern w:val="0"/>
          <w:sz w:val="24"/>
          <w:szCs w:val="24"/>
          <w:highlight w:val="none"/>
        </w:rPr>
        <w:t>同</w:t>
      </w:r>
      <w:r>
        <w:rPr>
          <w:rFonts w:hint="eastAsia" w:ascii="仿宋" w:hAnsi="仿宋" w:eastAsia="仿宋" w:cs="仿宋"/>
          <w:color w:val="auto"/>
          <w:kern w:val="0"/>
          <w:sz w:val="24"/>
          <w:szCs w:val="24"/>
          <w:highlight w:val="none"/>
        </w:rPr>
        <w:t>价</w:t>
      </w:r>
      <w:r>
        <w:rPr>
          <w:rFonts w:hint="eastAsia" w:ascii="仿宋" w:hAnsi="仿宋" w:eastAsia="仿宋" w:cs="仿宋"/>
          <w:color w:val="auto"/>
          <w:spacing w:val="-2"/>
          <w:kern w:val="0"/>
          <w:sz w:val="24"/>
          <w:szCs w:val="24"/>
          <w:highlight w:val="none"/>
        </w:rPr>
        <w:t>款</w:t>
      </w:r>
      <w:r>
        <w:rPr>
          <w:rFonts w:hint="eastAsia" w:ascii="仿宋" w:hAnsi="仿宋" w:eastAsia="仿宋" w:cs="仿宋"/>
          <w:color w:val="auto"/>
          <w:kern w:val="0"/>
          <w:sz w:val="24"/>
          <w:szCs w:val="24"/>
          <w:highlight w:val="none"/>
        </w:rPr>
        <w:t>。</w:t>
      </w:r>
    </w:p>
    <w:p w14:paraId="6583D416">
      <w:pPr>
        <w:tabs>
          <w:tab w:val="left" w:pos="3180"/>
          <w:tab w:val="left" w:pos="5600"/>
        </w:tabs>
        <w:autoSpaceDE w:val="0"/>
        <w:autoSpaceDN w:val="0"/>
        <w:adjustRightInd w:val="0"/>
        <w:spacing w:line="440" w:lineRule="exact"/>
        <w:ind w:firstLine="480" w:firstLineChars="200"/>
        <w:contextualSpacing/>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w:t>
      </w:r>
      <w:r>
        <w:rPr>
          <w:rFonts w:hint="eastAsia" w:ascii="仿宋" w:hAnsi="仿宋" w:eastAsia="仿宋" w:cs="仿宋"/>
          <w:color w:val="auto"/>
          <w:spacing w:val="-2"/>
          <w:kern w:val="0"/>
          <w:sz w:val="24"/>
          <w:szCs w:val="24"/>
          <w:highlight w:val="none"/>
        </w:rPr>
        <w:t>本</w:t>
      </w:r>
      <w:r>
        <w:rPr>
          <w:rFonts w:hint="eastAsia" w:ascii="仿宋" w:hAnsi="仿宋" w:eastAsia="仿宋" w:cs="仿宋"/>
          <w:color w:val="auto"/>
          <w:kern w:val="0"/>
          <w:sz w:val="24"/>
          <w:szCs w:val="24"/>
          <w:highlight w:val="none"/>
        </w:rPr>
        <w:t>合</w:t>
      </w:r>
      <w:r>
        <w:rPr>
          <w:rFonts w:hint="eastAsia" w:ascii="仿宋" w:hAnsi="仿宋" w:eastAsia="仿宋" w:cs="仿宋"/>
          <w:color w:val="auto"/>
          <w:spacing w:val="-2"/>
          <w:kern w:val="0"/>
          <w:sz w:val="24"/>
          <w:szCs w:val="24"/>
          <w:highlight w:val="none"/>
        </w:rPr>
        <w:t>同</w:t>
      </w:r>
      <w:r>
        <w:rPr>
          <w:rFonts w:hint="eastAsia" w:ascii="仿宋" w:hAnsi="仿宋" w:eastAsia="仿宋" w:cs="仿宋"/>
          <w:color w:val="auto"/>
          <w:kern w:val="0"/>
          <w:sz w:val="24"/>
          <w:szCs w:val="24"/>
          <w:highlight w:val="none"/>
        </w:rPr>
        <w:t>协</w:t>
      </w:r>
      <w:r>
        <w:rPr>
          <w:rFonts w:hint="eastAsia" w:ascii="仿宋" w:hAnsi="仿宋" w:eastAsia="仿宋" w:cs="仿宋"/>
          <w:color w:val="auto"/>
          <w:spacing w:val="-2"/>
          <w:kern w:val="0"/>
          <w:sz w:val="24"/>
          <w:szCs w:val="24"/>
          <w:highlight w:val="none"/>
        </w:rPr>
        <w:t>议</w:t>
      </w:r>
      <w:r>
        <w:rPr>
          <w:rFonts w:hint="eastAsia" w:ascii="仿宋" w:hAnsi="仿宋" w:eastAsia="仿宋" w:cs="仿宋"/>
          <w:color w:val="auto"/>
          <w:kern w:val="0"/>
          <w:sz w:val="24"/>
          <w:szCs w:val="24"/>
          <w:highlight w:val="none"/>
        </w:rPr>
        <w:t>书</w:t>
      </w:r>
      <w:r>
        <w:rPr>
          <w:rFonts w:hint="eastAsia" w:ascii="仿宋" w:hAnsi="仿宋" w:eastAsia="仿宋" w:cs="仿宋"/>
          <w:color w:val="auto"/>
          <w:spacing w:val="-2"/>
          <w:kern w:val="0"/>
          <w:sz w:val="24"/>
          <w:szCs w:val="24"/>
          <w:highlight w:val="none"/>
        </w:rPr>
        <w:t>一</w:t>
      </w:r>
      <w:r>
        <w:rPr>
          <w:rFonts w:hint="eastAsia" w:ascii="仿宋" w:hAnsi="仿宋" w:eastAsia="仿宋" w:cs="仿宋"/>
          <w:color w:val="auto"/>
          <w:kern w:val="0"/>
          <w:sz w:val="24"/>
          <w:szCs w:val="24"/>
          <w:highlight w:val="none"/>
        </w:rPr>
        <w:t>式</w:t>
      </w:r>
      <w:r>
        <w:rPr>
          <w:rFonts w:hint="eastAsia" w:ascii="仿宋" w:hAnsi="仿宋" w:eastAsia="仿宋" w:cs="仿宋"/>
          <w:color w:val="auto"/>
          <w:kern w:val="0"/>
          <w:sz w:val="24"/>
          <w:szCs w:val="24"/>
          <w:highlight w:val="none"/>
          <w:u w:val="single"/>
        </w:rPr>
        <w:tab/>
      </w:r>
      <w:r>
        <w:rPr>
          <w:rFonts w:hint="eastAsia" w:ascii="仿宋" w:hAnsi="仿宋" w:eastAsia="仿宋" w:cs="仿宋"/>
          <w:color w:val="auto"/>
          <w:spacing w:val="-2"/>
          <w:kern w:val="0"/>
          <w:sz w:val="24"/>
          <w:szCs w:val="24"/>
          <w:highlight w:val="none"/>
        </w:rPr>
        <w:t>份</w:t>
      </w:r>
      <w:r>
        <w:rPr>
          <w:rFonts w:hint="eastAsia" w:ascii="仿宋" w:hAnsi="仿宋" w:eastAsia="仿宋" w:cs="仿宋"/>
          <w:color w:val="auto"/>
          <w:kern w:val="0"/>
          <w:sz w:val="24"/>
          <w:szCs w:val="24"/>
          <w:highlight w:val="none"/>
        </w:rPr>
        <w:t>，</w:t>
      </w:r>
      <w:r>
        <w:rPr>
          <w:rFonts w:hint="eastAsia" w:ascii="仿宋" w:hAnsi="仿宋" w:eastAsia="仿宋" w:cs="仿宋"/>
          <w:color w:val="auto"/>
          <w:spacing w:val="-2"/>
          <w:kern w:val="0"/>
          <w:sz w:val="24"/>
          <w:szCs w:val="24"/>
          <w:highlight w:val="none"/>
        </w:rPr>
        <w:t>合</w:t>
      </w:r>
      <w:r>
        <w:rPr>
          <w:rFonts w:hint="eastAsia" w:ascii="仿宋" w:hAnsi="仿宋" w:eastAsia="仿宋" w:cs="仿宋"/>
          <w:color w:val="auto"/>
          <w:kern w:val="0"/>
          <w:sz w:val="24"/>
          <w:szCs w:val="24"/>
          <w:highlight w:val="none"/>
        </w:rPr>
        <w:t>同</w:t>
      </w:r>
      <w:r>
        <w:rPr>
          <w:rFonts w:hint="eastAsia" w:ascii="仿宋" w:hAnsi="仿宋" w:eastAsia="仿宋" w:cs="仿宋"/>
          <w:color w:val="auto"/>
          <w:spacing w:val="-2"/>
          <w:kern w:val="0"/>
          <w:sz w:val="24"/>
          <w:szCs w:val="24"/>
          <w:highlight w:val="none"/>
        </w:rPr>
        <w:t>双</w:t>
      </w:r>
      <w:r>
        <w:rPr>
          <w:rFonts w:hint="eastAsia" w:ascii="仿宋" w:hAnsi="仿宋" w:eastAsia="仿宋" w:cs="仿宋"/>
          <w:color w:val="auto"/>
          <w:kern w:val="0"/>
          <w:sz w:val="24"/>
          <w:szCs w:val="24"/>
          <w:highlight w:val="none"/>
        </w:rPr>
        <w:t>方</w:t>
      </w:r>
      <w:r>
        <w:rPr>
          <w:rFonts w:hint="eastAsia" w:ascii="仿宋" w:hAnsi="仿宋" w:eastAsia="仿宋" w:cs="仿宋"/>
          <w:color w:val="auto"/>
          <w:spacing w:val="-2"/>
          <w:kern w:val="0"/>
          <w:sz w:val="24"/>
          <w:szCs w:val="24"/>
          <w:highlight w:val="none"/>
        </w:rPr>
        <w:t>各</w:t>
      </w:r>
      <w:r>
        <w:rPr>
          <w:rFonts w:hint="eastAsia" w:ascii="仿宋" w:hAnsi="仿宋" w:eastAsia="仿宋" w:cs="仿宋"/>
          <w:color w:val="auto"/>
          <w:kern w:val="0"/>
          <w:sz w:val="24"/>
          <w:szCs w:val="24"/>
          <w:highlight w:val="none"/>
        </w:rPr>
        <w:t>执</w:t>
      </w:r>
      <w:r>
        <w:rPr>
          <w:rFonts w:hint="eastAsia" w:ascii="仿宋" w:hAnsi="仿宋" w:eastAsia="仿宋" w:cs="仿宋"/>
          <w:color w:val="auto"/>
          <w:kern w:val="0"/>
          <w:sz w:val="24"/>
          <w:szCs w:val="24"/>
          <w:highlight w:val="none"/>
          <w:u w:val="single"/>
        </w:rPr>
        <w:tab/>
      </w:r>
      <w:r>
        <w:rPr>
          <w:rFonts w:hint="eastAsia" w:ascii="仿宋" w:hAnsi="仿宋" w:eastAsia="仿宋" w:cs="仿宋"/>
          <w:color w:val="auto"/>
          <w:spacing w:val="-2"/>
          <w:kern w:val="0"/>
          <w:sz w:val="24"/>
          <w:szCs w:val="24"/>
          <w:highlight w:val="none"/>
        </w:rPr>
        <w:t>份。</w:t>
      </w:r>
    </w:p>
    <w:p w14:paraId="23EECC5C">
      <w:pPr>
        <w:spacing w:line="440" w:lineRule="exact"/>
        <w:ind w:firstLine="410" w:firstLineChars="171"/>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w:t>
      </w:r>
      <w:r>
        <w:rPr>
          <w:rFonts w:hint="eastAsia" w:ascii="仿宋" w:hAnsi="仿宋" w:eastAsia="仿宋" w:cs="仿宋"/>
          <w:color w:val="auto"/>
          <w:spacing w:val="-2"/>
          <w:kern w:val="0"/>
          <w:sz w:val="24"/>
          <w:szCs w:val="24"/>
          <w:highlight w:val="none"/>
        </w:rPr>
        <w:t>合</w:t>
      </w:r>
      <w:r>
        <w:rPr>
          <w:rFonts w:hint="eastAsia" w:ascii="仿宋" w:hAnsi="仿宋" w:eastAsia="仿宋" w:cs="仿宋"/>
          <w:color w:val="auto"/>
          <w:kern w:val="0"/>
          <w:sz w:val="24"/>
          <w:szCs w:val="24"/>
          <w:highlight w:val="none"/>
        </w:rPr>
        <w:t>同</w:t>
      </w:r>
      <w:r>
        <w:rPr>
          <w:rFonts w:hint="eastAsia" w:ascii="仿宋" w:hAnsi="仿宋" w:eastAsia="仿宋" w:cs="仿宋"/>
          <w:color w:val="auto"/>
          <w:spacing w:val="-2"/>
          <w:kern w:val="0"/>
          <w:sz w:val="24"/>
          <w:szCs w:val="24"/>
          <w:highlight w:val="none"/>
        </w:rPr>
        <w:t>未</w:t>
      </w:r>
      <w:r>
        <w:rPr>
          <w:rFonts w:hint="eastAsia" w:ascii="仿宋" w:hAnsi="仿宋" w:eastAsia="仿宋" w:cs="仿宋"/>
          <w:color w:val="auto"/>
          <w:kern w:val="0"/>
          <w:sz w:val="24"/>
          <w:szCs w:val="24"/>
          <w:highlight w:val="none"/>
        </w:rPr>
        <w:t>尽</w:t>
      </w:r>
      <w:r>
        <w:rPr>
          <w:rFonts w:hint="eastAsia" w:ascii="仿宋" w:hAnsi="仿宋" w:eastAsia="仿宋" w:cs="仿宋"/>
          <w:color w:val="auto"/>
          <w:spacing w:val="-2"/>
          <w:kern w:val="0"/>
          <w:sz w:val="24"/>
          <w:szCs w:val="24"/>
          <w:highlight w:val="none"/>
        </w:rPr>
        <w:t>事</w:t>
      </w:r>
      <w:r>
        <w:rPr>
          <w:rFonts w:hint="eastAsia" w:ascii="仿宋" w:hAnsi="仿宋" w:eastAsia="仿宋" w:cs="仿宋"/>
          <w:color w:val="auto"/>
          <w:kern w:val="0"/>
          <w:sz w:val="24"/>
          <w:szCs w:val="24"/>
          <w:highlight w:val="none"/>
        </w:rPr>
        <w:t>宜</w:t>
      </w:r>
      <w:r>
        <w:rPr>
          <w:rFonts w:hint="eastAsia" w:ascii="仿宋" w:hAnsi="仿宋" w:eastAsia="仿宋" w:cs="仿宋"/>
          <w:color w:val="auto"/>
          <w:spacing w:val="-2"/>
          <w:kern w:val="0"/>
          <w:sz w:val="24"/>
          <w:szCs w:val="24"/>
          <w:highlight w:val="none"/>
        </w:rPr>
        <w:t>，</w:t>
      </w:r>
      <w:r>
        <w:rPr>
          <w:rFonts w:hint="eastAsia" w:ascii="仿宋" w:hAnsi="仿宋" w:eastAsia="仿宋" w:cs="仿宋"/>
          <w:color w:val="auto"/>
          <w:kern w:val="0"/>
          <w:sz w:val="24"/>
          <w:szCs w:val="24"/>
          <w:highlight w:val="none"/>
        </w:rPr>
        <w:t>双</w:t>
      </w:r>
      <w:r>
        <w:rPr>
          <w:rFonts w:hint="eastAsia" w:ascii="仿宋" w:hAnsi="仿宋" w:eastAsia="仿宋" w:cs="仿宋"/>
          <w:color w:val="auto"/>
          <w:spacing w:val="-2"/>
          <w:kern w:val="0"/>
          <w:sz w:val="24"/>
          <w:szCs w:val="24"/>
          <w:highlight w:val="none"/>
        </w:rPr>
        <w:t>方另</w:t>
      </w:r>
      <w:r>
        <w:rPr>
          <w:rFonts w:hint="eastAsia" w:ascii="仿宋" w:hAnsi="仿宋" w:eastAsia="仿宋" w:cs="仿宋"/>
          <w:color w:val="auto"/>
          <w:kern w:val="0"/>
          <w:sz w:val="24"/>
          <w:szCs w:val="24"/>
          <w:highlight w:val="none"/>
        </w:rPr>
        <w:t>行签</w:t>
      </w:r>
      <w:r>
        <w:rPr>
          <w:rFonts w:hint="eastAsia" w:ascii="仿宋" w:hAnsi="仿宋" w:eastAsia="仿宋" w:cs="仿宋"/>
          <w:color w:val="auto"/>
          <w:spacing w:val="-2"/>
          <w:kern w:val="0"/>
          <w:sz w:val="24"/>
          <w:szCs w:val="24"/>
          <w:highlight w:val="none"/>
        </w:rPr>
        <w:t>订</w:t>
      </w:r>
      <w:r>
        <w:rPr>
          <w:rFonts w:hint="eastAsia" w:ascii="仿宋" w:hAnsi="仿宋" w:eastAsia="仿宋" w:cs="仿宋"/>
          <w:color w:val="auto"/>
          <w:kern w:val="0"/>
          <w:sz w:val="24"/>
          <w:szCs w:val="24"/>
          <w:highlight w:val="none"/>
        </w:rPr>
        <w:t>补</w:t>
      </w:r>
      <w:r>
        <w:rPr>
          <w:rFonts w:hint="eastAsia" w:ascii="仿宋" w:hAnsi="仿宋" w:eastAsia="仿宋" w:cs="仿宋"/>
          <w:color w:val="auto"/>
          <w:spacing w:val="-2"/>
          <w:kern w:val="0"/>
          <w:sz w:val="24"/>
          <w:szCs w:val="24"/>
          <w:highlight w:val="none"/>
        </w:rPr>
        <w:t>充</w:t>
      </w:r>
      <w:r>
        <w:rPr>
          <w:rFonts w:hint="eastAsia" w:ascii="仿宋" w:hAnsi="仿宋" w:eastAsia="仿宋" w:cs="仿宋"/>
          <w:color w:val="auto"/>
          <w:kern w:val="0"/>
          <w:sz w:val="24"/>
          <w:szCs w:val="24"/>
          <w:highlight w:val="none"/>
        </w:rPr>
        <w:t>协</w:t>
      </w:r>
      <w:r>
        <w:rPr>
          <w:rFonts w:hint="eastAsia" w:ascii="仿宋" w:hAnsi="仿宋" w:eastAsia="仿宋" w:cs="仿宋"/>
          <w:color w:val="auto"/>
          <w:spacing w:val="-2"/>
          <w:kern w:val="0"/>
          <w:sz w:val="24"/>
          <w:szCs w:val="24"/>
          <w:highlight w:val="none"/>
        </w:rPr>
        <w:t>议</w:t>
      </w:r>
      <w:r>
        <w:rPr>
          <w:rFonts w:hint="eastAsia" w:ascii="仿宋" w:hAnsi="仿宋" w:eastAsia="仿宋" w:cs="仿宋"/>
          <w:color w:val="auto"/>
          <w:kern w:val="0"/>
          <w:sz w:val="24"/>
          <w:szCs w:val="24"/>
          <w:highlight w:val="none"/>
        </w:rPr>
        <w:t>，</w:t>
      </w:r>
      <w:r>
        <w:rPr>
          <w:rFonts w:hint="eastAsia" w:ascii="仿宋" w:hAnsi="仿宋" w:eastAsia="仿宋" w:cs="仿宋"/>
          <w:color w:val="auto"/>
          <w:spacing w:val="-2"/>
          <w:kern w:val="0"/>
          <w:sz w:val="24"/>
          <w:szCs w:val="24"/>
          <w:highlight w:val="none"/>
        </w:rPr>
        <w:t>补</w:t>
      </w:r>
      <w:r>
        <w:rPr>
          <w:rFonts w:hint="eastAsia" w:ascii="仿宋" w:hAnsi="仿宋" w:eastAsia="仿宋" w:cs="仿宋"/>
          <w:color w:val="auto"/>
          <w:kern w:val="0"/>
          <w:sz w:val="24"/>
          <w:szCs w:val="24"/>
          <w:highlight w:val="none"/>
        </w:rPr>
        <w:t>充</w:t>
      </w:r>
      <w:r>
        <w:rPr>
          <w:rFonts w:hint="eastAsia" w:ascii="仿宋" w:hAnsi="仿宋" w:eastAsia="仿宋" w:cs="仿宋"/>
          <w:color w:val="auto"/>
          <w:spacing w:val="-2"/>
          <w:kern w:val="0"/>
          <w:sz w:val="24"/>
          <w:szCs w:val="24"/>
          <w:highlight w:val="none"/>
        </w:rPr>
        <w:t>协</w:t>
      </w:r>
      <w:r>
        <w:rPr>
          <w:rFonts w:hint="eastAsia" w:ascii="仿宋" w:hAnsi="仿宋" w:eastAsia="仿宋" w:cs="仿宋"/>
          <w:color w:val="auto"/>
          <w:kern w:val="0"/>
          <w:sz w:val="24"/>
          <w:szCs w:val="24"/>
          <w:highlight w:val="none"/>
        </w:rPr>
        <w:t>议是</w:t>
      </w:r>
      <w:r>
        <w:rPr>
          <w:rFonts w:hint="eastAsia" w:ascii="仿宋" w:hAnsi="仿宋" w:eastAsia="仿宋" w:cs="仿宋"/>
          <w:color w:val="auto"/>
          <w:spacing w:val="-2"/>
          <w:kern w:val="0"/>
          <w:sz w:val="24"/>
          <w:szCs w:val="24"/>
          <w:highlight w:val="none"/>
        </w:rPr>
        <w:t>合</w:t>
      </w:r>
      <w:r>
        <w:rPr>
          <w:rFonts w:hint="eastAsia" w:ascii="仿宋" w:hAnsi="仿宋" w:eastAsia="仿宋" w:cs="仿宋"/>
          <w:color w:val="auto"/>
          <w:kern w:val="0"/>
          <w:sz w:val="24"/>
          <w:szCs w:val="24"/>
          <w:highlight w:val="none"/>
        </w:rPr>
        <w:t>同</w:t>
      </w:r>
      <w:r>
        <w:rPr>
          <w:rFonts w:hint="eastAsia" w:ascii="仿宋" w:hAnsi="仿宋" w:eastAsia="仿宋" w:cs="仿宋"/>
          <w:color w:val="auto"/>
          <w:spacing w:val="-2"/>
          <w:kern w:val="0"/>
          <w:sz w:val="24"/>
          <w:szCs w:val="24"/>
          <w:highlight w:val="none"/>
        </w:rPr>
        <w:t>的</w:t>
      </w:r>
      <w:r>
        <w:rPr>
          <w:rFonts w:hint="eastAsia" w:ascii="仿宋" w:hAnsi="仿宋" w:eastAsia="仿宋" w:cs="仿宋"/>
          <w:color w:val="auto"/>
          <w:kern w:val="0"/>
          <w:sz w:val="24"/>
          <w:szCs w:val="24"/>
          <w:highlight w:val="none"/>
        </w:rPr>
        <w:t>组</w:t>
      </w:r>
      <w:r>
        <w:rPr>
          <w:rFonts w:hint="eastAsia" w:ascii="仿宋" w:hAnsi="仿宋" w:eastAsia="仿宋" w:cs="仿宋"/>
          <w:color w:val="auto"/>
          <w:spacing w:val="-2"/>
          <w:kern w:val="0"/>
          <w:sz w:val="24"/>
          <w:szCs w:val="24"/>
          <w:highlight w:val="none"/>
        </w:rPr>
        <w:t>成</w:t>
      </w:r>
      <w:r>
        <w:rPr>
          <w:rFonts w:hint="eastAsia" w:ascii="仿宋" w:hAnsi="仿宋" w:eastAsia="仿宋" w:cs="仿宋"/>
          <w:color w:val="auto"/>
          <w:kern w:val="0"/>
          <w:sz w:val="24"/>
          <w:szCs w:val="24"/>
          <w:highlight w:val="none"/>
        </w:rPr>
        <w:t>部</w:t>
      </w:r>
      <w:r>
        <w:rPr>
          <w:rFonts w:hint="eastAsia" w:ascii="仿宋" w:hAnsi="仿宋" w:eastAsia="仿宋" w:cs="仿宋"/>
          <w:color w:val="auto"/>
          <w:spacing w:val="-2"/>
          <w:kern w:val="0"/>
          <w:sz w:val="24"/>
          <w:szCs w:val="24"/>
          <w:highlight w:val="none"/>
        </w:rPr>
        <w:t>分</w:t>
      </w:r>
      <w:r>
        <w:rPr>
          <w:rFonts w:hint="eastAsia" w:ascii="仿宋" w:hAnsi="仿宋" w:eastAsia="仿宋" w:cs="仿宋"/>
          <w:color w:val="auto"/>
          <w:kern w:val="0"/>
          <w:sz w:val="24"/>
          <w:szCs w:val="24"/>
          <w:highlight w:val="none"/>
        </w:rPr>
        <w:t>。</w:t>
      </w:r>
    </w:p>
    <w:p w14:paraId="4F8C8D0A">
      <w:pPr>
        <w:spacing w:line="440" w:lineRule="exact"/>
        <w:ind w:firstLine="410" w:firstLineChars="171"/>
        <w:rPr>
          <w:rFonts w:hint="eastAsia" w:ascii="仿宋" w:hAnsi="仿宋" w:eastAsia="仿宋" w:cs="仿宋"/>
          <w:color w:val="auto"/>
          <w:kern w:val="0"/>
          <w:sz w:val="24"/>
          <w:szCs w:val="24"/>
          <w:highlight w:val="none"/>
        </w:rPr>
      </w:pPr>
    </w:p>
    <w:p w14:paraId="5F2A4D52">
      <w:pPr>
        <w:keepNext w:val="0"/>
        <w:keepLines w:val="0"/>
        <w:pageBreakBefore w:val="0"/>
        <w:widowControl w:val="0"/>
        <w:tabs>
          <w:tab w:val="left" w:pos="4395"/>
        </w:tabs>
        <w:kinsoku/>
        <w:wordWrap/>
        <w:overflowPunct/>
        <w:topLinePunct w:val="0"/>
        <w:autoSpaceDE/>
        <w:autoSpaceDN/>
        <w:bidi w:val="0"/>
        <w:adjustRightInd/>
        <w:snapToGrid/>
        <w:spacing w:line="360" w:lineRule="auto"/>
        <w:ind w:firstLine="1440" w:firstLineChars="6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（盖单位章）</w:t>
      </w:r>
      <w:r>
        <w:rPr>
          <w:rFonts w:hint="eastAsia" w:ascii="仿宋" w:hAnsi="仿宋" w:eastAsia="仿宋" w:cs="仿宋"/>
          <w:color w:val="auto"/>
          <w:sz w:val="24"/>
          <w:szCs w:val="24"/>
          <w:highlight w:val="none"/>
        </w:rPr>
        <w:tab/>
      </w:r>
    </w:p>
    <w:p w14:paraId="2F01D82B">
      <w:pPr>
        <w:keepNext w:val="0"/>
        <w:keepLines w:val="0"/>
        <w:pageBreakBefore w:val="0"/>
        <w:widowControl w:val="0"/>
        <w:tabs>
          <w:tab w:val="left" w:pos="4395"/>
        </w:tabs>
        <w:kinsoku/>
        <w:wordWrap/>
        <w:overflowPunct/>
        <w:topLinePunct w:val="0"/>
        <w:autoSpaceDE/>
        <w:autoSpaceDN/>
        <w:bidi w:val="0"/>
        <w:adjustRightInd/>
        <w:snapToGrid/>
        <w:spacing w:line="360" w:lineRule="auto"/>
        <w:ind w:firstLine="1440" w:firstLineChars="6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法定代表人（单位负责人）或其委托代理人：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w:t>
      </w:r>
    </w:p>
    <w:p w14:paraId="0F3D0CDB">
      <w:pPr>
        <w:keepNext w:val="0"/>
        <w:keepLines w:val="0"/>
        <w:pageBreakBefore w:val="0"/>
        <w:widowControl w:val="0"/>
        <w:kinsoku/>
        <w:wordWrap/>
        <w:overflowPunct/>
        <w:topLinePunct w:val="0"/>
        <w:autoSpaceDE/>
        <w:autoSpaceDN/>
        <w:bidi w:val="0"/>
        <w:adjustRightInd/>
        <w:snapToGrid/>
        <w:spacing w:line="360" w:lineRule="auto"/>
        <w:ind w:firstLine="4867" w:firstLineChars="2028"/>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10AF219C">
      <w:pPr>
        <w:keepNext w:val="0"/>
        <w:keepLines w:val="0"/>
        <w:pageBreakBefore w:val="0"/>
        <w:widowControl w:val="0"/>
        <w:tabs>
          <w:tab w:val="left" w:pos="4395"/>
        </w:tabs>
        <w:kinsoku/>
        <w:wordWrap/>
        <w:overflowPunct/>
        <w:topLinePunct w:val="0"/>
        <w:autoSpaceDE/>
        <w:autoSpaceDN/>
        <w:bidi w:val="0"/>
        <w:adjustRightInd/>
        <w:snapToGrid/>
        <w:spacing w:line="360" w:lineRule="auto"/>
        <w:ind w:firstLine="1440" w:firstLineChars="6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（盖单位章）</w:t>
      </w:r>
    </w:p>
    <w:p w14:paraId="629CFBE2">
      <w:pPr>
        <w:keepNext w:val="0"/>
        <w:keepLines w:val="0"/>
        <w:pageBreakBefore w:val="0"/>
        <w:widowControl w:val="0"/>
        <w:tabs>
          <w:tab w:val="left" w:pos="4395"/>
        </w:tabs>
        <w:kinsoku/>
        <w:wordWrap/>
        <w:overflowPunct/>
        <w:topLinePunct w:val="0"/>
        <w:autoSpaceDE/>
        <w:autoSpaceDN/>
        <w:bidi w:val="0"/>
        <w:adjustRightInd/>
        <w:snapToGrid/>
        <w:spacing w:line="360" w:lineRule="auto"/>
        <w:ind w:firstLine="1440" w:firstLineChars="6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法定代表人（单位负责人）或其委托代理人：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w:t>
      </w:r>
    </w:p>
    <w:p w14:paraId="0F52E74C">
      <w:pPr>
        <w:keepNext w:val="0"/>
        <w:keepLines w:val="0"/>
        <w:pageBreakBefore w:val="0"/>
        <w:widowControl w:val="0"/>
        <w:kinsoku/>
        <w:wordWrap/>
        <w:overflowPunct/>
        <w:topLinePunct w:val="0"/>
        <w:autoSpaceDE/>
        <w:autoSpaceDN/>
        <w:bidi w:val="0"/>
        <w:adjustRightInd/>
        <w:snapToGrid/>
        <w:spacing w:line="360" w:lineRule="auto"/>
        <w:ind w:firstLine="4867" w:firstLineChars="2028"/>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67E38679">
      <w:pPr>
        <w:tabs>
          <w:tab w:val="left" w:pos="5370"/>
          <w:tab w:val="left" w:pos="6330"/>
          <w:tab w:val="left" w:pos="7275"/>
        </w:tabs>
        <w:autoSpaceDE w:val="0"/>
        <w:autoSpaceDN w:val="0"/>
        <w:adjustRightInd w:val="0"/>
        <w:spacing w:line="440" w:lineRule="exact"/>
        <w:ind w:left="4341" w:firstLine="281" w:firstLineChars="100"/>
        <w:contextualSpacing/>
        <w:jc w:val="left"/>
        <w:rPr>
          <w:rFonts w:hint="eastAsia" w:ascii="仿宋" w:hAnsi="仿宋" w:eastAsia="仿宋" w:cs="仿宋"/>
          <w:b/>
          <w:bCs/>
          <w:color w:val="auto"/>
          <w:kern w:val="0"/>
          <w:position w:val="-3"/>
          <w:sz w:val="28"/>
          <w:szCs w:val="28"/>
          <w:highlight w:val="none"/>
        </w:rPr>
      </w:pPr>
    </w:p>
    <w:p w14:paraId="540F0C77">
      <w:pPr>
        <w:pStyle w:val="6"/>
        <w:spacing w:before="0" w:after="0"/>
        <w:ind w:firstLine="137"/>
        <w:rPr>
          <w:rFonts w:hint="eastAsia" w:ascii="楷体" w:hAnsi="楷体" w:eastAsia="楷体" w:cs="楷体"/>
          <w:i/>
          <w:iCs/>
          <w:color w:val="auto"/>
          <w:kern w:val="0"/>
          <w:sz w:val="24"/>
          <w:szCs w:val="24"/>
          <w:highlight w:val="none"/>
          <w:lang w:val="en-US" w:eastAsia="zh-CN" w:bidi="ar-SA"/>
        </w:rPr>
      </w:pPr>
      <w:bookmarkStart w:id="355" w:name="_Toc29797"/>
      <w:bookmarkStart w:id="356" w:name="_Toc526265702"/>
      <w:bookmarkStart w:id="357" w:name="_Toc497923303"/>
      <w:bookmarkStart w:id="358" w:name="_Toc32547"/>
      <w:bookmarkStart w:id="359" w:name="_Toc27242"/>
      <w:bookmarkStart w:id="360" w:name="_Toc500235608"/>
      <w:bookmarkStart w:id="361" w:name="_Toc500009176"/>
      <w:r>
        <w:rPr>
          <w:rFonts w:hint="eastAsia" w:ascii="仿宋" w:hAnsi="仿宋" w:eastAsia="仿宋" w:cs="仿宋"/>
          <w:color w:val="auto"/>
          <w:highlight w:val="none"/>
        </w:rPr>
        <w:t>附件二：</w:t>
      </w:r>
      <w:bookmarkEnd w:id="355"/>
      <w:bookmarkEnd w:id="356"/>
      <w:bookmarkEnd w:id="357"/>
      <w:bookmarkEnd w:id="358"/>
      <w:bookmarkEnd w:id="359"/>
      <w:bookmarkEnd w:id="360"/>
      <w:bookmarkEnd w:id="361"/>
      <w:bookmarkStart w:id="362" w:name="_Toc21660"/>
      <w:bookmarkStart w:id="363" w:name="_Toc20755"/>
      <w:bookmarkStart w:id="364" w:name="_Toc296346732"/>
      <w:bookmarkStart w:id="365" w:name="_Toc296891271"/>
      <w:bookmarkStart w:id="366" w:name="_Toc296503231"/>
      <w:bookmarkStart w:id="367" w:name="_Toc296891059"/>
      <w:bookmarkStart w:id="368" w:name="_Toc296944570"/>
      <w:bookmarkStart w:id="369" w:name="_Toc296347230"/>
      <w:r>
        <w:rPr>
          <w:rFonts w:hint="eastAsia" w:ascii="仿宋" w:hAnsi="仿宋" w:eastAsia="仿宋" w:cs="仿宋"/>
          <w:b w:val="0"/>
          <w:bCs w:val="0"/>
          <w:color w:val="auto"/>
          <w:highlight w:val="none"/>
        </w:rPr>
        <w:t>廉政协议</w:t>
      </w:r>
      <w:r>
        <w:rPr>
          <w:rFonts w:hint="eastAsia" w:ascii="楷体" w:hAnsi="楷体" w:eastAsia="楷体" w:cs="楷体"/>
          <w:i w:val="0"/>
          <w:iCs w:val="0"/>
          <w:color w:val="auto"/>
          <w:kern w:val="0"/>
          <w:sz w:val="24"/>
          <w:szCs w:val="24"/>
          <w:highlight w:val="none"/>
          <w:lang w:val="en-US" w:eastAsia="zh-CN" w:bidi="ar-SA"/>
        </w:rPr>
        <w:t>（仅供参考）</w:t>
      </w:r>
      <w:bookmarkEnd w:id="362"/>
      <w:bookmarkEnd w:id="363"/>
    </w:p>
    <w:bookmarkEnd w:id="364"/>
    <w:bookmarkEnd w:id="365"/>
    <w:bookmarkEnd w:id="366"/>
    <w:bookmarkEnd w:id="367"/>
    <w:bookmarkEnd w:id="368"/>
    <w:bookmarkEnd w:id="369"/>
    <w:p w14:paraId="2274544D">
      <w:pPr>
        <w:bidi w:val="0"/>
        <w:jc w:val="center"/>
        <w:rPr>
          <w:rFonts w:hint="eastAsia" w:ascii="仿宋" w:hAnsi="仿宋" w:eastAsia="仿宋" w:cs="仿宋"/>
          <w:color w:val="auto"/>
          <w:sz w:val="28"/>
          <w:szCs w:val="28"/>
          <w:highlight w:val="none"/>
        </w:rPr>
      </w:pPr>
      <w:bookmarkStart w:id="370" w:name="_Toc1665"/>
      <w:bookmarkStart w:id="371" w:name="_Toc14421"/>
      <w:bookmarkStart w:id="372" w:name="_Toc10732"/>
      <w:bookmarkStart w:id="373" w:name="_Toc26672"/>
      <w:r>
        <w:rPr>
          <w:rFonts w:hint="eastAsia" w:ascii="仿宋" w:hAnsi="仿宋" w:eastAsia="仿宋" w:cs="仿宋"/>
          <w:color w:val="auto"/>
          <w:sz w:val="28"/>
          <w:szCs w:val="28"/>
          <w:highlight w:val="none"/>
        </w:rPr>
        <w:t>廉政协议</w:t>
      </w:r>
      <w:bookmarkEnd w:id="370"/>
      <w:bookmarkEnd w:id="371"/>
      <w:bookmarkEnd w:id="372"/>
      <w:bookmarkEnd w:id="373"/>
    </w:p>
    <w:p w14:paraId="4959B3DA">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为促进双方诚信经营、廉洁从业，防范商业贿赂，保护国家、集体和当事人的合法权益，根据国家有关法律法规和安徽省、</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项目所在地</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廉政建设的规定，</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sz w:val="24"/>
          <w:szCs w:val="24"/>
          <w:highlight w:val="none"/>
        </w:rPr>
        <w:t>（买方名称，以下简称“买方”）</w:t>
      </w:r>
      <w:r>
        <w:rPr>
          <w:rFonts w:hint="eastAsia" w:ascii="仿宋" w:hAnsi="仿宋" w:eastAsia="仿宋" w:cs="仿宋"/>
          <w:color w:val="auto"/>
          <w:kern w:val="0"/>
          <w:sz w:val="24"/>
          <w:szCs w:val="24"/>
          <w:highlight w:val="none"/>
        </w:rPr>
        <w:t>与</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sz w:val="24"/>
          <w:szCs w:val="24"/>
          <w:highlight w:val="none"/>
        </w:rPr>
        <w:t>（卖方名称，以下称“卖方”）</w:t>
      </w:r>
      <w:r>
        <w:rPr>
          <w:rFonts w:hint="eastAsia" w:ascii="仿宋" w:hAnsi="仿宋" w:eastAsia="仿宋" w:cs="仿宋"/>
          <w:color w:val="auto"/>
          <w:kern w:val="0"/>
          <w:sz w:val="24"/>
          <w:szCs w:val="24"/>
          <w:highlight w:val="none"/>
        </w:rPr>
        <w:t>，特此订立本协议共同遵照执行。</w:t>
      </w:r>
    </w:p>
    <w:p w14:paraId="24384496">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bookmarkStart w:id="374" w:name="_Toc26234"/>
      <w:bookmarkStart w:id="375" w:name="_Toc26094"/>
      <w:bookmarkStart w:id="376" w:name="_Toc13385"/>
      <w:bookmarkStart w:id="377" w:name="_Toc27285"/>
      <w:r>
        <w:rPr>
          <w:rFonts w:hint="eastAsia" w:ascii="仿宋" w:hAnsi="仿宋" w:eastAsia="仿宋" w:cs="仿宋"/>
          <w:color w:val="auto"/>
          <w:kern w:val="0"/>
          <w:sz w:val="24"/>
          <w:szCs w:val="24"/>
          <w:highlight w:val="none"/>
        </w:rPr>
        <w:t>第一条 买卖双方的权利和义务</w:t>
      </w:r>
      <w:bookmarkEnd w:id="374"/>
      <w:bookmarkEnd w:id="375"/>
      <w:bookmarkEnd w:id="376"/>
      <w:bookmarkEnd w:id="377"/>
    </w:p>
    <w:p w14:paraId="6AA7063B">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一）买卖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02E488FE">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（二）严格执行</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的合同要求，自觉履行合同约定的相关义务。</w:t>
      </w:r>
    </w:p>
    <w:p w14:paraId="2D813FF0">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（三）在业务活动中坚持公开、公正、诚信、透明的原则，不得损害国家、集体利益。</w:t>
      </w:r>
    </w:p>
    <w:p w14:paraId="5B54F3E8">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（四）建立健全廉政制度，开展廉政教育，公布举报电话，监督并认真查处违法违纪行为。</w:t>
      </w:r>
    </w:p>
    <w:p w14:paraId="5ABEBFAE">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（五）发现对方在业务活动中有违反廉政规定的行为，应及时提醒对方纠正。情节严重的，应向其上级有关部门举报、建议给予处理，并有权要求告知处理结果。</w:t>
      </w:r>
    </w:p>
    <w:p w14:paraId="7C8640B8">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bookmarkStart w:id="378" w:name="_Toc14350"/>
      <w:bookmarkStart w:id="379" w:name="_Toc26482"/>
      <w:bookmarkStart w:id="380" w:name="_Toc26503"/>
      <w:bookmarkStart w:id="381" w:name="_Toc25996"/>
      <w:r>
        <w:rPr>
          <w:rFonts w:hint="eastAsia" w:ascii="仿宋" w:hAnsi="仿宋" w:eastAsia="仿宋" w:cs="仿宋"/>
          <w:color w:val="auto"/>
          <w:kern w:val="0"/>
          <w:sz w:val="24"/>
          <w:szCs w:val="24"/>
          <w:highlight w:val="none"/>
        </w:rPr>
        <w:t>第二条 买方的义务</w:t>
      </w:r>
      <w:bookmarkEnd w:id="378"/>
      <w:bookmarkEnd w:id="379"/>
      <w:bookmarkEnd w:id="380"/>
      <w:bookmarkEnd w:id="381"/>
    </w:p>
    <w:p w14:paraId="69B5E752">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（一）买方及其工作人员不得索要或接受卖方的礼金、有价证券和贵重物品，不得在卖方报销任何应由买方单位或个人支付的费用等。</w:t>
      </w:r>
    </w:p>
    <w:p w14:paraId="3B54CCDB">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二）买方工作人员不得参加卖方安排的可能影响相关业务公开、公正、公平性的宴请和娱乐活动；不得参与任何形式的赌博，严禁通过赌博方式取得卖方及其工作人员的财物；不得接受卖方提供的通讯工具和高档办公用品等。</w:t>
      </w:r>
    </w:p>
    <w:p w14:paraId="37B81F2E">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（三）买方及其工作人员不得要求或者接受卖方为其住房装修、婚丧嫁娶活动、配偶子女工作安排以及出国出境、旅游等提供方便等。</w:t>
      </w:r>
    </w:p>
    <w:p w14:paraId="469EF40B">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（四）买方工作人员不得在卖方有股权关联的企业兼职，不得向卖方介绍家属或者亲友从事与买方业务有关的经济活动。</w:t>
      </w:r>
    </w:p>
    <w:p w14:paraId="4618D285">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（五）买方工作人员不得以明显低于市场的价格向卖方购买房屋、汽车等物品；不得以明显高于市场的价格向卖方出售房屋、汽车等物品；不得以其他交易形式非法收受请托人财物。</w:t>
      </w:r>
    </w:p>
    <w:p w14:paraId="2AE2541A">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（六）买方工作人员不得利用职务之便收受卖方以回扣、手续费、加班费、咨询费、劳务费、协调费、辛苦费等各种名义给予或赠送的钱物。</w:t>
      </w:r>
    </w:p>
    <w:p w14:paraId="3169D270">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（七）买方工作人员不得接受卖方给予或赠送的干股或红利。</w:t>
      </w:r>
    </w:p>
    <w:p w14:paraId="6748955E">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（八）买方任何人不得以个人的名义向卖方推荐设备、部件等供货商以及其它合作单位。</w:t>
      </w:r>
    </w:p>
    <w:p w14:paraId="4A72B81A">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bookmarkStart w:id="382" w:name="_Toc17948"/>
      <w:bookmarkStart w:id="383" w:name="_Toc22928"/>
      <w:bookmarkStart w:id="384" w:name="_Toc3903"/>
      <w:bookmarkStart w:id="385" w:name="_Toc16168"/>
      <w:r>
        <w:rPr>
          <w:rFonts w:hint="eastAsia" w:ascii="仿宋" w:hAnsi="仿宋" w:eastAsia="仿宋" w:cs="仿宋"/>
          <w:color w:val="auto"/>
          <w:kern w:val="0"/>
          <w:sz w:val="24"/>
          <w:szCs w:val="24"/>
          <w:highlight w:val="none"/>
        </w:rPr>
        <w:t>第三条 卖方的义务</w:t>
      </w:r>
      <w:bookmarkEnd w:id="382"/>
      <w:bookmarkEnd w:id="383"/>
      <w:bookmarkEnd w:id="384"/>
      <w:bookmarkEnd w:id="385"/>
    </w:p>
    <w:p w14:paraId="6FB782F2">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（一）卖方不得以任何理由向买方及其工作人员行贿或馈赠礼金、有价证券、贵重礼品。</w:t>
      </w:r>
    </w:p>
    <w:p w14:paraId="29FAF402">
      <w:pPr>
        <w:widowControl/>
        <w:spacing w:line="360" w:lineRule="auto"/>
        <w:ind w:firstLine="484" w:firstLineChars="202"/>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（二）卖方不得以任何名义为买方及其工作人员报销应由买方单位或个人支付的任何费用。</w:t>
      </w:r>
    </w:p>
    <w:p w14:paraId="7B81B36F">
      <w:pPr>
        <w:widowControl/>
        <w:spacing w:line="360" w:lineRule="auto"/>
        <w:ind w:firstLine="484" w:firstLineChars="202"/>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（三）卖方不得以任何理由安排买方工作人员参加可能影响相关业务公开、公正、公平性的宴请及娱乐活动。</w:t>
      </w:r>
    </w:p>
    <w:p w14:paraId="5F98AEA6">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（四）卖方不得为买方单位和个人购置或提供通讯工具和高档办公用品等物品，也不得为买方提供与工作无关的房屋、汽车等。</w:t>
      </w:r>
    </w:p>
    <w:p w14:paraId="4F1AC1BF">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（五）卖方不得与买方工作人员就合同中的质量、数量、价格、工程量、验收等条款进行私下商谈或者达成默契。</w:t>
      </w:r>
    </w:p>
    <w:p w14:paraId="2AA3C49C">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（六）卖方不得以回扣、手续费、加班费、咨询费、劳务费、协调费、辛苦费等各种名义向买方工作人员给予或赠送钱物。</w:t>
      </w:r>
    </w:p>
    <w:p w14:paraId="43B5EE56">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（七）卖方不得向买方工作人员提供干股或红利。</w:t>
      </w:r>
    </w:p>
    <w:p w14:paraId="612521C2">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（八）卖方须按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专项纪检监察工作组</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如有</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要求开展相关工作。</w:t>
      </w:r>
    </w:p>
    <w:p w14:paraId="199E6A77">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bookmarkStart w:id="386" w:name="_Toc15243"/>
      <w:bookmarkStart w:id="387" w:name="_Toc17966"/>
      <w:bookmarkStart w:id="388" w:name="_Toc11820"/>
      <w:bookmarkStart w:id="389" w:name="_Toc18108"/>
      <w:r>
        <w:rPr>
          <w:rFonts w:hint="eastAsia" w:ascii="仿宋" w:hAnsi="仿宋" w:eastAsia="仿宋" w:cs="仿宋"/>
          <w:color w:val="auto"/>
          <w:kern w:val="0"/>
          <w:sz w:val="24"/>
          <w:szCs w:val="24"/>
          <w:highlight w:val="none"/>
        </w:rPr>
        <w:t>第四条 违约责任</w:t>
      </w:r>
      <w:bookmarkEnd w:id="386"/>
      <w:bookmarkEnd w:id="387"/>
      <w:bookmarkEnd w:id="388"/>
      <w:bookmarkEnd w:id="389"/>
    </w:p>
    <w:p w14:paraId="1B9ECAA1">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一）买方及其工作人员违反本协议第一、二条规定。买方按管理权限，对相关责任人依据有关规定给予党纪、政纪处分或组织处理；涉嫌犯罪的，移交司法机关追究刑事责任；给卖方单位造成经济损失的，应予以赔偿。</w:t>
      </w:r>
    </w:p>
    <w:p w14:paraId="0C89F017">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买方投诉联系部门：</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，联系电话：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14:paraId="5635BA59">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（二）卖方及其工作人员违反本协议第一、三条规定。根据具体情节和造成的后果，买方有权对卖方采取以下一种或多种处理办法：</w:t>
      </w:r>
    </w:p>
    <w:p w14:paraId="3A0DDF16">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1.全额收取卖方合同履约保证金不予退还； </w:t>
      </w:r>
    </w:p>
    <w:p w14:paraId="369D3C11">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2.追究卖方其他违约责任；</w:t>
      </w:r>
    </w:p>
    <w:p w14:paraId="2A8487CC">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3.终止或解除双方已签订的包括本合同在内的所有合同；</w:t>
      </w:r>
    </w:p>
    <w:p w14:paraId="4C240C05">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4.卖方一定期限内（6个月至3年，具体由买方根据情况而定）不得参与买方作为发包人（业主）的项目</w:t>
      </w:r>
      <w:r>
        <w:rPr>
          <w:rFonts w:hint="eastAsia" w:ascii="仿宋" w:hAnsi="仿宋" w:eastAsia="仿宋" w:cs="仿宋"/>
          <w:color w:val="auto"/>
          <w:kern w:val="0"/>
          <w:sz w:val="24"/>
          <w:szCs w:val="24"/>
          <w:highlight w:val="none"/>
          <w:lang w:eastAsia="zh-CN"/>
        </w:rPr>
        <w:t>响应</w:t>
      </w:r>
      <w:r>
        <w:rPr>
          <w:rFonts w:hint="eastAsia" w:ascii="仿宋" w:hAnsi="仿宋" w:eastAsia="仿宋" w:cs="仿宋"/>
          <w:color w:val="auto"/>
          <w:kern w:val="0"/>
          <w:sz w:val="24"/>
          <w:szCs w:val="24"/>
          <w:highlight w:val="none"/>
        </w:rPr>
        <w:t>。</w:t>
      </w:r>
    </w:p>
    <w:p w14:paraId="7F593508">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买方作出的处理意见，卖方应无条件接受并承担给买方造成的损失，全额返还通过不正当手段从买方获取的非法所得，并承担相应的法律责任。</w:t>
      </w:r>
    </w:p>
    <w:p w14:paraId="0A879510">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bookmarkStart w:id="390" w:name="_Toc16343"/>
      <w:bookmarkStart w:id="391" w:name="_Toc26230"/>
      <w:bookmarkStart w:id="392" w:name="_Toc24761"/>
      <w:bookmarkStart w:id="393" w:name="_Toc22278"/>
      <w:r>
        <w:rPr>
          <w:rFonts w:hint="eastAsia" w:ascii="仿宋" w:hAnsi="仿宋" w:eastAsia="仿宋" w:cs="仿宋"/>
          <w:color w:val="auto"/>
          <w:kern w:val="0"/>
          <w:sz w:val="24"/>
          <w:szCs w:val="24"/>
          <w:highlight w:val="none"/>
        </w:rPr>
        <w:t>第五条 双方约定</w:t>
      </w:r>
      <w:bookmarkEnd w:id="390"/>
      <w:bookmarkEnd w:id="391"/>
      <w:bookmarkEnd w:id="392"/>
      <w:bookmarkEnd w:id="393"/>
    </w:p>
    <w:p w14:paraId="491A0A41">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本协议由双方或双方上级单位负责监督。可由买方或买方上级单位的纪检监察部门约请卖方或卖方上级单位的纪检监察部门对本协议履行情况进行检查，提出在本协议规定范围内的裁定意见。</w:t>
      </w:r>
    </w:p>
    <w:p w14:paraId="51AB4C7B">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bookmarkStart w:id="394" w:name="_Toc13312"/>
      <w:bookmarkStart w:id="395" w:name="_Toc28013"/>
      <w:bookmarkStart w:id="396" w:name="_Toc4683"/>
      <w:bookmarkStart w:id="397" w:name="_Toc30729"/>
      <w:r>
        <w:rPr>
          <w:rFonts w:hint="eastAsia" w:ascii="仿宋" w:hAnsi="仿宋" w:eastAsia="仿宋" w:cs="仿宋"/>
          <w:color w:val="auto"/>
          <w:kern w:val="0"/>
          <w:sz w:val="24"/>
          <w:szCs w:val="24"/>
          <w:highlight w:val="none"/>
        </w:rPr>
        <w:t>第六条  本协议有效期为买卖双方签署之日起至合同终止。</w:t>
      </w:r>
      <w:bookmarkEnd w:id="394"/>
      <w:bookmarkEnd w:id="395"/>
      <w:bookmarkEnd w:id="396"/>
      <w:bookmarkEnd w:id="397"/>
      <w:r>
        <w:rPr>
          <w:rFonts w:hint="eastAsia" w:ascii="仿宋" w:hAnsi="仿宋" w:eastAsia="仿宋" w:cs="仿宋"/>
          <w:color w:val="auto"/>
          <w:kern w:val="0"/>
          <w:sz w:val="24"/>
          <w:szCs w:val="24"/>
          <w:highlight w:val="none"/>
        </w:rPr>
        <w:t xml:space="preserve">  </w:t>
      </w:r>
    </w:p>
    <w:p w14:paraId="6C95892C">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bookmarkStart w:id="398" w:name="_Toc29460"/>
      <w:bookmarkStart w:id="399" w:name="_Toc27516"/>
      <w:bookmarkStart w:id="400" w:name="_Toc14309"/>
      <w:bookmarkStart w:id="401" w:name="_Toc2701"/>
      <w:r>
        <w:rPr>
          <w:rFonts w:hint="eastAsia" w:ascii="仿宋" w:hAnsi="仿宋" w:eastAsia="仿宋" w:cs="仿宋"/>
          <w:color w:val="auto"/>
          <w:kern w:val="0"/>
          <w:sz w:val="24"/>
          <w:szCs w:val="24"/>
          <w:highlight w:val="none"/>
        </w:rPr>
        <w:t>第七条  本协议作为合同的附件，与本合同具有同等法律效力。</w:t>
      </w:r>
      <w:bookmarkEnd w:id="398"/>
      <w:bookmarkEnd w:id="399"/>
      <w:bookmarkEnd w:id="400"/>
      <w:bookmarkEnd w:id="401"/>
    </w:p>
    <w:p w14:paraId="643D5687">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p>
    <w:p w14:paraId="3D345297">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买方（盖章）：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卖方（盖章）：</w:t>
      </w:r>
      <w:r>
        <w:rPr>
          <w:rFonts w:hint="eastAsia" w:ascii="仿宋" w:hAnsi="仿宋" w:eastAsia="仿宋" w:cs="仿宋"/>
          <w:color w:val="auto"/>
          <w:kern w:val="0"/>
          <w:sz w:val="24"/>
          <w:szCs w:val="24"/>
          <w:highlight w:val="none"/>
          <w:u w:val="single"/>
        </w:rPr>
        <w:t xml:space="preserve">           </w:t>
      </w:r>
    </w:p>
    <w:p w14:paraId="542FEC24">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p>
    <w:p w14:paraId="7C093A4C">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法定代表人或                            法定代表人或</w:t>
      </w:r>
    </w:p>
    <w:p w14:paraId="24341C17">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授权代表：</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eastAsia="zh-CN"/>
        </w:rPr>
        <w:t>（</w:t>
      </w:r>
      <w:r>
        <w:rPr>
          <w:rFonts w:hint="eastAsia" w:ascii="仿宋" w:hAnsi="仿宋" w:eastAsia="仿宋" w:cs="仿宋"/>
          <w:color w:val="auto"/>
          <w:kern w:val="0"/>
          <w:sz w:val="24"/>
          <w:szCs w:val="24"/>
          <w:highlight w:val="none"/>
        </w:rPr>
        <w:t>职务</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 xml:space="preserve">           授权代表：</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eastAsia="zh-CN"/>
        </w:rPr>
        <w:t>（</w:t>
      </w:r>
      <w:r>
        <w:rPr>
          <w:rFonts w:hint="eastAsia" w:ascii="仿宋" w:hAnsi="仿宋" w:eastAsia="仿宋" w:cs="仿宋"/>
          <w:color w:val="auto"/>
          <w:kern w:val="0"/>
          <w:sz w:val="24"/>
          <w:szCs w:val="24"/>
          <w:highlight w:val="none"/>
        </w:rPr>
        <w:t>职务</w:t>
      </w:r>
      <w:r>
        <w:rPr>
          <w:rFonts w:hint="eastAsia" w:ascii="仿宋" w:hAnsi="仿宋" w:eastAsia="仿宋" w:cs="仿宋"/>
          <w:color w:val="auto"/>
          <w:kern w:val="0"/>
          <w:sz w:val="24"/>
          <w:szCs w:val="24"/>
          <w:highlight w:val="none"/>
          <w:lang w:eastAsia="zh-CN"/>
        </w:rPr>
        <w:t>）</w:t>
      </w:r>
    </w:p>
    <w:p w14:paraId="65A5B92F">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姓名：</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姓名：</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1954EFAD">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签字：</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 xml:space="preserve"> 签字：</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46466347">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p>
    <w:p w14:paraId="01E16EC6">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廉政监督联系人                           廉政监督联系人</w:t>
      </w:r>
    </w:p>
    <w:p w14:paraId="116C341B">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姓名：</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姓名：</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11025848">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签字：</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签字：</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743E4532">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476200C1">
      <w:pPr>
        <w:widowControl/>
        <w:spacing w:line="360" w:lineRule="auto"/>
        <w:ind w:firstLine="480" w:firstLineChars="200"/>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地址：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地址：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73E51F08">
      <w:pPr>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日期：</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日期：</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2180922C">
      <w:pPr>
        <w:rPr>
          <w:rFonts w:hint="eastAsia" w:ascii="仿宋" w:hAnsi="仿宋" w:eastAsia="仿宋" w:cs="仿宋"/>
          <w:color w:val="auto"/>
          <w:sz w:val="24"/>
          <w:szCs w:val="24"/>
          <w:highlight w:val="none"/>
        </w:rPr>
      </w:pPr>
    </w:p>
    <w:p w14:paraId="6188001E">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36CE62FD">
      <w:pPr>
        <w:rPr>
          <w:color w:val="auto"/>
          <w:highlight w:val="none"/>
        </w:rPr>
      </w:pPr>
      <w:bookmarkStart w:id="402" w:name="_Toc501460777"/>
      <w:bookmarkStart w:id="403" w:name="_Toc179632787"/>
      <w:bookmarkStart w:id="404" w:name="_Toc247085853"/>
      <w:bookmarkStart w:id="405" w:name="_Toc246996338"/>
      <w:bookmarkStart w:id="406" w:name="_Toc246997081"/>
      <w:bookmarkStart w:id="407" w:name="_Toc144974578"/>
      <w:bookmarkStart w:id="408" w:name="_Toc300835199"/>
      <w:bookmarkStart w:id="409" w:name="_Toc247514197"/>
      <w:bookmarkStart w:id="410" w:name="_Toc144974829"/>
      <w:bookmarkStart w:id="411" w:name="_Toc184635122"/>
      <w:bookmarkStart w:id="412" w:name="_Toc152042388"/>
      <w:bookmarkStart w:id="413" w:name="_Toc152045610"/>
      <w:bookmarkStart w:id="414" w:name="_Toc247527798"/>
      <w:bookmarkStart w:id="415" w:name="_Toc152042549"/>
    </w:p>
    <w:p w14:paraId="4798DFC7">
      <w:pPr>
        <w:rPr>
          <w:color w:val="auto"/>
          <w:highlight w:val="none"/>
        </w:rPr>
      </w:pPr>
    </w:p>
    <w:p w14:paraId="552B06B6">
      <w:pPr>
        <w:rPr>
          <w:color w:val="auto"/>
          <w:highlight w:val="none"/>
        </w:rPr>
      </w:pPr>
    </w:p>
    <w:p w14:paraId="2C4362D6">
      <w:pPr>
        <w:rPr>
          <w:color w:val="auto"/>
          <w:highlight w:val="none"/>
        </w:rPr>
      </w:pPr>
    </w:p>
    <w:p w14:paraId="7D64298B">
      <w:pPr>
        <w:rPr>
          <w:color w:val="auto"/>
          <w:highlight w:val="none"/>
        </w:rPr>
      </w:pPr>
    </w:p>
    <w:p w14:paraId="568B948D">
      <w:pPr>
        <w:rPr>
          <w:color w:val="auto"/>
          <w:highlight w:val="none"/>
        </w:rPr>
      </w:pPr>
    </w:p>
    <w:p w14:paraId="6C5D1A1C">
      <w:pPr>
        <w:rPr>
          <w:color w:val="auto"/>
          <w:highlight w:val="none"/>
        </w:rPr>
      </w:pPr>
    </w:p>
    <w:p w14:paraId="1FEA9C2F">
      <w:pPr>
        <w:rPr>
          <w:color w:val="auto"/>
          <w:highlight w:val="none"/>
        </w:rPr>
      </w:pPr>
    </w:p>
    <w:p w14:paraId="5AFD64A9">
      <w:pPr>
        <w:pStyle w:val="4"/>
        <w:jc w:val="center"/>
        <w:rPr>
          <w:rFonts w:hint="eastAsia" w:ascii="仿宋" w:hAnsi="仿宋" w:eastAsia="仿宋" w:cs="仿宋"/>
          <w:color w:val="auto"/>
          <w:highlight w:val="none"/>
        </w:rPr>
      </w:pPr>
      <w:bookmarkStart w:id="416" w:name="_Toc27128"/>
      <w:bookmarkStart w:id="417" w:name="_Toc25231"/>
      <w:bookmarkStart w:id="418" w:name="_Toc21590"/>
      <w:r>
        <w:rPr>
          <w:rFonts w:hint="eastAsia" w:ascii="仿宋" w:hAnsi="仿宋" w:eastAsia="仿宋" w:cs="仿宋"/>
          <w:color w:val="auto"/>
          <w:highlight w:val="none"/>
        </w:rPr>
        <w:t xml:space="preserve">第五章  </w:t>
      </w:r>
      <w:r>
        <w:rPr>
          <w:rFonts w:hint="eastAsia" w:ascii="仿宋" w:hAnsi="仿宋" w:eastAsia="仿宋" w:cs="仿宋"/>
          <w:color w:val="auto"/>
          <w:highlight w:val="none"/>
          <w:lang w:val="en-US" w:eastAsia="zh-CN"/>
        </w:rPr>
        <w:t>服务</w:t>
      </w:r>
      <w:r>
        <w:rPr>
          <w:rFonts w:hint="eastAsia" w:ascii="仿宋" w:hAnsi="仿宋" w:eastAsia="仿宋" w:cs="仿宋"/>
          <w:color w:val="auto"/>
          <w:highlight w:val="none"/>
        </w:rPr>
        <w:t>需求</w:t>
      </w:r>
      <w:bookmarkEnd w:id="402"/>
      <w:bookmarkEnd w:id="416"/>
      <w:bookmarkEnd w:id="417"/>
      <w:bookmarkEnd w:id="418"/>
    </w:p>
    <w:p w14:paraId="2644719F">
      <w:pPr>
        <w:rPr>
          <w:rFonts w:ascii="Times New Roman" w:hAnsi="Times New Roman"/>
          <w:color w:val="auto"/>
          <w:highlight w:val="none"/>
        </w:rPr>
      </w:pPr>
      <w:r>
        <w:rPr>
          <w:rFonts w:hint="eastAsia" w:ascii="Times New Roman" w:hAnsi="Times New Roman"/>
          <w:color w:val="auto"/>
          <w:highlight w:val="none"/>
        </w:rPr>
        <w:br w:type="page"/>
      </w:r>
    </w:p>
    <w:p w14:paraId="65AEB401">
      <w:pPr>
        <w:pStyle w:val="5"/>
        <w:spacing w:before="0" w:after="0" w:line="360" w:lineRule="auto"/>
        <w:rPr>
          <w:rFonts w:hint="default" w:ascii="仿宋" w:hAnsi="仿宋" w:eastAsia="仿宋" w:cs="仿宋"/>
          <w:color w:val="auto"/>
          <w:sz w:val="24"/>
          <w:szCs w:val="24"/>
          <w:highlight w:val="none"/>
          <w:lang w:val="en-US" w:eastAsia="zh-CN"/>
        </w:rPr>
      </w:pPr>
      <w:bookmarkStart w:id="419" w:name="_Toc504472772"/>
      <w:bookmarkStart w:id="420" w:name="_Toc501460780"/>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val="en-US" w:eastAsia="zh-CN"/>
        </w:rPr>
        <w:t>项目概况</w:t>
      </w:r>
    </w:p>
    <w:p w14:paraId="27D9F650">
      <w:pPr>
        <w:pStyle w:val="5"/>
        <w:spacing w:before="0" w:after="0" w:line="360" w:lineRule="auto"/>
        <w:ind w:firstLine="480" w:firstLineChars="200"/>
        <w:rPr>
          <w:rFonts w:hint="default"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安徽万丰祥餐饮经营管理有限公司食材配送服务入围采购项目，</w:t>
      </w:r>
      <w:r>
        <w:rPr>
          <w:rFonts w:hint="default" w:ascii="仿宋" w:hAnsi="仿宋" w:eastAsia="仿宋" w:cs="仿宋"/>
          <w:b w:val="0"/>
          <w:bCs w:val="0"/>
          <w:color w:val="auto"/>
          <w:kern w:val="2"/>
          <w:sz w:val="24"/>
          <w:szCs w:val="24"/>
          <w:highlight w:val="none"/>
          <w:lang w:val="en-US" w:eastAsia="zh-CN" w:bidi="ar-SA"/>
        </w:rPr>
        <w:t>主要内容为食材采购及配送，包括（1）第 01 采购包：米面油类；（2）第 02 采购包：冻品、调理半成品类；（3）第 03 采购包：蔬菜类；（4）第 04 采购包：鲜肉、家禽类；（5）第 05 采购包：干货调料类；（6）第 06 采购包：禽蛋类；</w:t>
      </w:r>
      <w:r>
        <w:rPr>
          <w:rFonts w:hint="eastAsia" w:ascii="仿宋" w:hAnsi="仿宋" w:eastAsia="仿宋" w:cs="仿宋"/>
          <w:b w:val="0"/>
          <w:bCs w:val="0"/>
          <w:color w:val="auto"/>
          <w:kern w:val="2"/>
          <w:sz w:val="24"/>
          <w:szCs w:val="24"/>
          <w:highlight w:val="none"/>
          <w:lang w:val="en-US" w:eastAsia="zh-CN" w:bidi="ar-SA"/>
        </w:rPr>
        <w:t>。</w:t>
      </w:r>
    </w:p>
    <w:p w14:paraId="4FEC28E5">
      <w:pPr>
        <w:pStyle w:val="5"/>
        <w:spacing w:before="0"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、运输要求</w:t>
      </w:r>
      <w:bookmarkEnd w:id="419"/>
    </w:p>
    <w:p w14:paraId="4FCE932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根据各类</w:t>
      </w:r>
      <w:r>
        <w:rPr>
          <w:rFonts w:hint="eastAsia" w:ascii="仿宋" w:hAnsi="仿宋" w:eastAsia="仿宋" w:cs="仿宋"/>
          <w:b w:val="0"/>
          <w:bCs w:val="0"/>
          <w:color w:val="auto"/>
          <w:kern w:val="2"/>
          <w:sz w:val="24"/>
          <w:szCs w:val="24"/>
          <w:highlight w:val="none"/>
          <w:lang w:val="en-US" w:eastAsia="zh-CN" w:bidi="ar-SA"/>
        </w:rPr>
        <w:t>食材</w:t>
      </w:r>
      <w:r>
        <w:rPr>
          <w:rFonts w:hint="eastAsia" w:ascii="仿宋" w:hAnsi="仿宋" w:eastAsia="仿宋" w:cs="仿宋"/>
          <w:color w:val="auto"/>
          <w:sz w:val="24"/>
          <w:highlight w:val="none"/>
        </w:rPr>
        <w:t>运输条件选择合适运输车辆，运输用的车辆、工具、铺垫物、防雨设施必须清洁、干燥，车厢消毒，运输中严禁日晒雨淋。不得与有毒、有异味、有害的物品混装、混运。</w:t>
      </w:r>
    </w:p>
    <w:p w14:paraId="4734B7A1">
      <w:pPr>
        <w:pStyle w:val="5"/>
        <w:spacing w:before="0"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、订购与配送</w:t>
      </w:r>
    </w:p>
    <w:p w14:paraId="6962A76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（一）乙方</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指供应商，下同</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应严格按订购计划明确的</w:t>
      </w:r>
      <w:r>
        <w:rPr>
          <w:rFonts w:hint="eastAsia" w:ascii="仿宋" w:hAnsi="仿宋" w:eastAsia="仿宋" w:cs="仿宋"/>
          <w:b w:val="0"/>
          <w:bCs w:val="0"/>
          <w:color w:val="auto"/>
          <w:kern w:val="2"/>
          <w:sz w:val="24"/>
          <w:szCs w:val="24"/>
          <w:highlight w:val="none"/>
          <w:lang w:val="en-US" w:eastAsia="zh-CN" w:bidi="ar-SA"/>
        </w:rPr>
        <w:t>食材</w:t>
      </w:r>
      <w:r>
        <w:rPr>
          <w:rFonts w:hint="eastAsia" w:ascii="仿宋" w:hAnsi="仿宋" w:eastAsia="仿宋" w:cs="仿宋"/>
          <w:color w:val="auto"/>
          <w:sz w:val="24"/>
          <w:highlight w:val="none"/>
        </w:rPr>
        <w:t>类别、数量、规格、包装、配送时间和地点进行供货，对配送供应的</w:t>
      </w:r>
      <w:r>
        <w:rPr>
          <w:rFonts w:hint="eastAsia" w:ascii="仿宋" w:hAnsi="仿宋" w:eastAsia="仿宋" w:cs="仿宋"/>
          <w:b w:val="0"/>
          <w:bCs w:val="0"/>
          <w:color w:val="auto"/>
          <w:kern w:val="2"/>
          <w:sz w:val="24"/>
          <w:szCs w:val="24"/>
          <w:highlight w:val="none"/>
          <w:lang w:val="en-US" w:eastAsia="zh-CN" w:bidi="ar-SA"/>
        </w:rPr>
        <w:t>食材</w:t>
      </w:r>
      <w:r>
        <w:rPr>
          <w:rFonts w:hint="eastAsia" w:ascii="仿宋" w:hAnsi="仿宋" w:eastAsia="仿宋" w:cs="仿宋"/>
          <w:color w:val="auto"/>
          <w:sz w:val="24"/>
          <w:highlight w:val="none"/>
        </w:rPr>
        <w:t>应进行准确分类、包装、标识，并按照约定时间和甲方指定的各配送地点完成</w:t>
      </w:r>
      <w:r>
        <w:rPr>
          <w:rFonts w:hint="eastAsia" w:ascii="仿宋" w:hAnsi="仿宋" w:eastAsia="仿宋" w:cs="仿宋"/>
          <w:b w:val="0"/>
          <w:bCs w:val="0"/>
          <w:color w:val="auto"/>
          <w:kern w:val="2"/>
          <w:sz w:val="24"/>
          <w:szCs w:val="24"/>
          <w:highlight w:val="none"/>
          <w:lang w:val="en-US" w:eastAsia="zh-CN" w:bidi="ar-SA"/>
        </w:rPr>
        <w:t>食材</w:t>
      </w:r>
      <w:r>
        <w:rPr>
          <w:rFonts w:hint="eastAsia" w:ascii="仿宋" w:hAnsi="仿宋" w:eastAsia="仿宋" w:cs="仿宋"/>
          <w:color w:val="auto"/>
          <w:sz w:val="24"/>
          <w:highlight w:val="none"/>
        </w:rPr>
        <w:t>配送。</w:t>
      </w:r>
    </w:p>
    <w:p w14:paraId="073B413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（二）乙方所有供应货物须有完整、正规外包装，不得出现假冒品牌、以次充好的情况。</w:t>
      </w:r>
    </w:p>
    <w:p w14:paraId="60B5DA2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（三）所有冷冻食品的生产时间、产地、有效期、运输方式等关键信息需标示清楚，不得篡改、编造相关信息，确保冷链供应全程监管到位。</w:t>
      </w:r>
    </w:p>
    <w:p w14:paraId="5EE83011">
      <w:pPr>
        <w:spacing w:line="360" w:lineRule="auto"/>
        <w:ind w:firstLine="480" w:firstLineChars="200"/>
        <w:rPr>
          <w:rFonts w:hint="eastAsia"/>
          <w:color w:val="auto"/>
          <w:highlight w:val="none"/>
          <w:lang w:eastAsia="zh-CN"/>
        </w:rPr>
      </w:pPr>
      <w:r>
        <w:rPr>
          <w:rFonts w:hint="eastAsia" w:ascii="仿宋" w:hAnsi="仿宋" w:eastAsia="仿宋" w:cs="仿宋"/>
          <w:color w:val="auto"/>
          <w:sz w:val="24"/>
          <w:highlight w:val="none"/>
          <w:lang w:eastAsia="zh-CN"/>
        </w:rPr>
        <w:t>（四）</w:t>
      </w: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lang w:eastAsia="zh-CN"/>
        </w:rPr>
        <w:t>应提供7×24 小时服务，常规响应时间为2小时内。如提出紧急需求，</w:t>
      </w: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lang w:eastAsia="zh-CN"/>
        </w:rPr>
        <w:t>应在接到紧急需求通知后1小时将所需产品配送到指定地点。</w:t>
      </w:r>
    </w:p>
    <w:p w14:paraId="3C774B6B">
      <w:pPr>
        <w:pStyle w:val="2"/>
        <w:numPr>
          <w:ilvl w:val="0"/>
          <w:numId w:val="0"/>
        </w:numPr>
        <w:tabs>
          <w:tab w:val="clear" w:pos="1418"/>
        </w:tabs>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五</w:t>
      </w:r>
      <w:r>
        <w:rPr>
          <w:rFonts w:hint="eastAsia" w:ascii="仿宋" w:hAnsi="仿宋" w:eastAsia="仿宋" w:cs="仿宋"/>
          <w:color w:val="auto"/>
          <w:sz w:val="24"/>
          <w:highlight w:val="none"/>
          <w:lang w:eastAsia="zh-CN"/>
        </w:rPr>
        <w:t>）每日送货时间为7:30前抵达，供货时须提供当日的供货单及当日的</w:t>
      </w:r>
      <w:r>
        <w:rPr>
          <w:rFonts w:hint="eastAsia" w:ascii="仿宋" w:hAnsi="仿宋" w:eastAsia="仿宋" w:cs="仿宋"/>
          <w:color w:val="auto"/>
          <w:sz w:val="24"/>
          <w:highlight w:val="none"/>
          <w:lang w:val="en-US" w:eastAsia="zh-CN"/>
        </w:rPr>
        <w:t>周谷堆</w:t>
      </w:r>
      <w:r>
        <w:rPr>
          <w:rFonts w:hint="eastAsia" w:ascii="仿宋" w:hAnsi="仿宋" w:eastAsia="仿宋" w:cs="仿宋"/>
          <w:color w:val="auto"/>
          <w:sz w:val="24"/>
          <w:highlight w:val="none"/>
          <w:lang w:eastAsia="zh-CN"/>
        </w:rPr>
        <w:t>市场价格供货价对比表。</w:t>
      </w:r>
    </w:p>
    <w:p w14:paraId="5A087D0B">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（六）交付前，根据采购人要求进行前期免费初加工。包括但不限于，清洗、切块、条、片等。 </w:t>
      </w:r>
    </w:p>
    <w:p w14:paraId="4894C907">
      <w:pPr>
        <w:pStyle w:val="2"/>
        <w:tabs>
          <w:tab w:val="clear" w:pos="1418"/>
        </w:tabs>
        <w:spacing w:line="360" w:lineRule="auto"/>
        <w:ind w:left="0" w:firstLine="480" w:firstLineChars="200"/>
        <w:rPr>
          <w:rFonts w:ascii="仿宋" w:hAnsi="仿宋" w:eastAsia="仿宋" w:cs="仿宋"/>
          <w:color w:val="auto"/>
          <w:sz w:val="24"/>
          <w:highlight w:val="none"/>
          <w:lang w:eastAsia="zh-CN"/>
        </w:rPr>
      </w:pPr>
      <w:r>
        <w:rPr>
          <w:rFonts w:hint="eastAsia" w:ascii="仿宋" w:hAnsi="仿宋" w:eastAsia="仿宋" w:cs="仿宋"/>
          <w:color w:val="auto"/>
          <w:sz w:val="24"/>
          <w:highlight w:val="none"/>
        </w:rPr>
        <w:t>（七）</w:t>
      </w:r>
      <w:r>
        <w:rPr>
          <w:rFonts w:hint="eastAsia" w:ascii="仿宋" w:hAnsi="仿宋" w:eastAsia="仿宋" w:cs="仿宋"/>
          <w:color w:val="auto"/>
          <w:sz w:val="24"/>
          <w:highlight w:val="none"/>
          <w:lang w:eastAsia="zh-CN"/>
        </w:rPr>
        <w:t>因突发不可预计的自然灾害，优先供货我单位，在现有物资储备情况下，确保不断供。</w:t>
      </w:r>
    </w:p>
    <w:p w14:paraId="6A2FB6FE">
      <w:pPr>
        <w:pStyle w:val="5"/>
        <w:spacing w:before="0"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四</w:t>
      </w:r>
      <w:r>
        <w:rPr>
          <w:rFonts w:hint="eastAsia" w:ascii="仿宋" w:hAnsi="仿宋" w:eastAsia="仿宋" w:cs="仿宋"/>
          <w:color w:val="auto"/>
          <w:sz w:val="24"/>
          <w:szCs w:val="24"/>
          <w:highlight w:val="none"/>
        </w:rPr>
        <w:t>、质量标准与验收</w:t>
      </w:r>
    </w:p>
    <w:p w14:paraId="3B4F5A79">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w:t>
      </w:r>
      <w:r>
        <w:rPr>
          <w:rFonts w:hint="eastAsia" w:ascii="仿宋" w:hAnsi="仿宋" w:eastAsia="仿宋"/>
          <w:color w:val="auto"/>
          <w:szCs w:val="21"/>
          <w:highlight w:val="none"/>
          <w:lang w:val="en-US" w:eastAsia="zh-CN"/>
        </w:rPr>
        <w:t>一</w:t>
      </w:r>
      <w:r>
        <w:rPr>
          <w:rFonts w:hint="eastAsia" w:ascii="仿宋" w:hAnsi="仿宋" w:eastAsia="仿宋" w:cs="仿宋"/>
          <w:color w:val="auto"/>
          <w:kern w:val="2"/>
          <w:sz w:val="24"/>
          <w:szCs w:val="22"/>
          <w:highlight w:val="none"/>
          <w:lang w:val="en-US" w:eastAsia="zh-CN" w:bidi="ar-SA"/>
        </w:rPr>
        <w:t>）原材料常规要求。</w:t>
      </w:r>
    </w:p>
    <w:p w14:paraId="6766FEA0">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A.新鲜度：</w:t>
      </w:r>
    </w:p>
    <w:p w14:paraId="69E47834">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 xml:space="preserve">    水量：充足，无萎蔫、皱皮。</w:t>
      </w:r>
    </w:p>
    <w:p w14:paraId="5EF23473">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 xml:space="preserve">    色泽：正常，无变色，光泽、色亮鲜艳。</w:t>
      </w:r>
    </w:p>
    <w:p w14:paraId="4EA6202B">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 xml:space="preserve">    硬度：叶菜挺立，瓜菜饱满、结实、无空心，根菜略硬。</w:t>
      </w:r>
    </w:p>
    <w:p w14:paraId="35AB2D2A">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B.</w:t>
      </w:r>
      <w:r>
        <w:rPr>
          <w:rFonts w:hint="eastAsia" w:ascii="仿宋" w:hAnsi="仿宋" w:eastAsia="仿宋"/>
          <w:color w:val="auto"/>
          <w:szCs w:val="21"/>
          <w:highlight w:val="none"/>
        </w:rPr>
        <w:tab/>
      </w:r>
      <w:r>
        <w:rPr>
          <w:rFonts w:hint="eastAsia" w:ascii="仿宋" w:hAnsi="仿宋" w:eastAsia="仿宋"/>
          <w:color w:val="auto"/>
          <w:szCs w:val="21"/>
          <w:highlight w:val="none"/>
        </w:rPr>
        <w:t>机械伤：无多处外力造成的伤害，如挤伤、压伤、碰伤、切口、裂伤等。</w:t>
      </w:r>
    </w:p>
    <w:p w14:paraId="2685259E">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C.</w:t>
      </w:r>
      <w:r>
        <w:rPr>
          <w:rFonts w:hint="eastAsia" w:ascii="仿宋" w:hAnsi="仿宋" w:eastAsia="仿宋"/>
          <w:color w:val="auto"/>
          <w:szCs w:val="21"/>
          <w:highlight w:val="none"/>
        </w:rPr>
        <w:tab/>
      </w:r>
      <w:r>
        <w:rPr>
          <w:rFonts w:hint="eastAsia" w:ascii="仿宋" w:hAnsi="仿宋" w:eastAsia="仿宋"/>
          <w:color w:val="auto"/>
          <w:szCs w:val="21"/>
          <w:highlight w:val="none"/>
        </w:rPr>
        <w:t>病虫害：无虫害、虫嗑、无残虫卵。</w:t>
      </w:r>
    </w:p>
    <w:p w14:paraId="41B7F393">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D.</w:t>
      </w:r>
      <w:r>
        <w:rPr>
          <w:rFonts w:hint="eastAsia" w:ascii="仿宋" w:hAnsi="仿宋" w:eastAsia="仿宋"/>
          <w:color w:val="auto"/>
          <w:szCs w:val="21"/>
          <w:highlight w:val="none"/>
        </w:rPr>
        <w:tab/>
      </w:r>
      <w:r>
        <w:rPr>
          <w:rFonts w:hint="eastAsia" w:ascii="仿宋" w:hAnsi="仿宋" w:eastAsia="仿宋"/>
          <w:color w:val="auto"/>
          <w:szCs w:val="21"/>
          <w:highlight w:val="none"/>
        </w:rPr>
        <w:t>形状：枝叶丰满、大小适中，曲线协调。</w:t>
      </w:r>
    </w:p>
    <w:p w14:paraId="2752E9A6">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E.</w:t>
      </w:r>
      <w:r>
        <w:rPr>
          <w:rFonts w:hint="eastAsia" w:ascii="仿宋" w:hAnsi="仿宋" w:eastAsia="仿宋"/>
          <w:color w:val="auto"/>
          <w:szCs w:val="21"/>
          <w:highlight w:val="none"/>
        </w:rPr>
        <w:tab/>
      </w:r>
      <w:r>
        <w:rPr>
          <w:rFonts w:hint="eastAsia" w:ascii="仿宋" w:hAnsi="仿宋" w:eastAsia="仿宋"/>
          <w:color w:val="auto"/>
          <w:szCs w:val="21"/>
          <w:highlight w:val="none"/>
        </w:rPr>
        <w:t>成熟度：适中，未过熟、腐烂。</w:t>
      </w:r>
    </w:p>
    <w:p w14:paraId="391006AB">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F.</w:t>
      </w:r>
      <w:r>
        <w:rPr>
          <w:rFonts w:hint="eastAsia" w:ascii="仿宋" w:hAnsi="仿宋" w:eastAsia="仿宋"/>
          <w:color w:val="auto"/>
          <w:szCs w:val="21"/>
          <w:highlight w:val="none"/>
        </w:rPr>
        <w:tab/>
      </w:r>
      <w:r>
        <w:rPr>
          <w:rFonts w:hint="eastAsia" w:ascii="仿宋" w:hAnsi="仿宋" w:eastAsia="仿宋"/>
          <w:color w:val="auto"/>
          <w:szCs w:val="21"/>
          <w:highlight w:val="none"/>
        </w:rPr>
        <w:t>污染：无污染、无运输造成的污染。</w:t>
      </w:r>
    </w:p>
    <w:p w14:paraId="6083BF60">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G.</w:t>
      </w:r>
      <w:r>
        <w:rPr>
          <w:rFonts w:hint="eastAsia" w:ascii="仿宋" w:hAnsi="仿宋" w:eastAsia="仿宋"/>
          <w:color w:val="auto"/>
          <w:szCs w:val="21"/>
          <w:highlight w:val="none"/>
        </w:rPr>
        <w:tab/>
      </w:r>
      <w:r>
        <w:rPr>
          <w:rFonts w:hint="eastAsia" w:ascii="仿宋" w:hAnsi="仿宋" w:eastAsia="仿宋"/>
          <w:color w:val="auto"/>
          <w:szCs w:val="21"/>
          <w:highlight w:val="none"/>
        </w:rPr>
        <w:t>叶菜类：挺实，全味正，颜色好，无过多黄叶、腐烂叶与多泥根，无不成熟现象。</w:t>
      </w:r>
    </w:p>
    <w:p w14:paraId="2A962374">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H.</w:t>
      </w:r>
      <w:r>
        <w:rPr>
          <w:rFonts w:hint="eastAsia" w:ascii="仿宋" w:hAnsi="仿宋" w:eastAsia="仿宋"/>
          <w:color w:val="auto"/>
          <w:szCs w:val="21"/>
          <w:highlight w:val="none"/>
        </w:rPr>
        <w:tab/>
      </w:r>
      <w:r>
        <w:rPr>
          <w:rFonts w:hint="eastAsia" w:ascii="仿宋" w:hAnsi="仿宋" w:eastAsia="仿宋"/>
          <w:color w:val="auto"/>
          <w:szCs w:val="21"/>
          <w:highlight w:val="none"/>
        </w:rPr>
        <w:t>瓜菜类：个大、成熟、新鲜，有新鲜绿身，无软化、变质现象。</w:t>
      </w:r>
    </w:p>
    <w:p w14:paraId="29C690C3">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I.</w:t>
      </w:r>
      <w:r>
        <w:rPr>
          <w:rFonts w:hint="eastAsia" w:ascii="仿宋" w:hAnsi="仿宋" w:eastAsia="仿宋"/>
          <w:color w:val="auto"/>
          <w:szCs w:val="21"/>
          <w:highlight w:val="none"/>
        </w:rPr>
        <w:tab/>
      </w:r>
      <w:r>
        <w:rPr>
          <w:rFonts w:hint="eastAsia" w:ascii="仿宋" w:hAnsi="仿宋" w:eastAsia="仿宋"/>
          <w:color w:val="auto"/>
          <w:szCs w:val="21"/>
          <w:highlight w:val="none"/>
        </w:rPr>
        <w:t>根菜类：挺实，无软化、腐烂、带泥过多，色泽正常，形状正常，无生芽情况。</w:t>
      </w:r>
    </w:p>
    <w:p w14:paraId="25D832B5">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J.</w:t>
      </w:r>
      <w:r>
        <w:rPr>
          <w:rFonts w:hint="eastAsia" w:ascii="仿宋" w:hAnsi="仿宋" w:eastAsia="仿宋"/>
          <w:color w:val="auto"/>
          <w:szCs w:val="21"/>
          <w:highlight w:val="none"/>
        </w:rPr>
        <w:tab/>
      </w:r>
      <w:r>
        <w:rPr>
          <w:rFonts w:hint="eastAsia" w:ascii="仿宋" w:hAnsi="仿宋" w:eastAsia="仿宋"/>
          <w:color w:val="auto"/>
          <w:szCs w:val="21"/>
          <w:highlight w:val="none"/>
        </w:rPr>
        <w:t>果菜类：无腐烂，色泽鲜艳光亮，成熟度正常。</w:t>
      </w:r>
    </w:p>
    <w:p w14:paraId="61E26324">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2）中标人应严格遵守《食品卫生法》相关规定，确保食品质量符合国家相关产品质量标准，符合国家强制性规范要求，所供产品质量为同类产品中一类以上产品，必须确保每日或每批次提供的食材经过相关检验检疫。如出现因食用其提供的食材导致食物安全事故发生，中标人承担一切经济、法律责任。</w:t>
      </w:r>
    </w:p>
    <w:p w14:paraId="49049FEC">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 xml:space="preserve">（3）一经发现供应以下食品，招标人除全部退货外，有权立即停止中标人供货，同时终止合同，没收全部履约保证金，中标人承担由此造成的经济责任和法律责任： </w:t>
      </w:r>
    </w:p>
    <w:p w14:paraId="70DAA465">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①腐败变质、油脂酸败、霉变、生虫、污秽不洁、混有异物或者其他感官性状异常，对人体健康有害的。</w:t>
      </w:r>
    </w:p>
    <w:p w14:paraId="112F49F0">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②含有毒、有害物质或者被有害物质污染，对人体健康有害的。含有严重超出标准限量的农药残留、兽药残留、重金属、污染物质以及其他危害人体健康的。</w:t>
      </w:r>
    </w:p>
    <w:p w14:paraId="05078BD7">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③含有致病性寄生虫、微生物或者微生物含量超过国家限定标准的。</w:t>
      </w:r>
    </w:p>
    <w:p w14:paraId="495449AB">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④提供未经动物检疫部门检疫、检验或者检疫、检验不合格的肉类及其制品。</w:t>
      </w:r>
    </w:p>
    <w:p w14:paraId="5D28801E">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⑤掺假、掺杂、伪造、影响营养、卫生的含有未经卫生行政部门批准使用的添加剂，农药（残留）的。</w:t>
      </w:r>
    </w:p>
    <w:p w14:paraId="0582F806">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⑥用非食品原料加工的，加入非食品用化学物质或者将非食品当作食品的。</w:t>
      </w:r>
    </w:p>
    <w:p w14:paraId="2F4DC30F">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⑦提供病死、毒死或死因不明的禽、畜、兽、水产动物及其制品。</w:t>
      </w:r>
    </w:p>
    <w:p w14:paraId="3B56F414">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⑧提供无品名、产地、厂名、生产日期、保质期及中文标识及原料说明的定型包装食品</w:t>
      </w:r>
    </w:p>
    <w:p w14:paraId="6F6C4322">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⑨超过保质期限的食材。</w:t>
      </w:r>
    </w:p>
    <w:p w14:paraId="72833394">
      <w:pPr>
        <w:tabs>
          <w:tab w:val="left" w:pos="840"/>
        </w:tabs>
        <w:adjustRightInd w:val="0"/>
        <w:snapToGrid w:val="0"/>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⑩其他可能存在导致出现食品安全隐患的食材。</w:t>
      </w:r>
    </w:p>
    <w:p w14:paraId="08D7777A">
      <w:pPr>
        <w:tabs>
          <w:tab w:val="left" w:pos="840"/>
        </w:tabs>
        <w:adjustRightInd w:val="0"/>
        <w:snapToGrid w:val="0"/>
        <w:spacing w:line="360" w:lineRule="auto"/>
        <w:ind w:firstLine="420" w:firstLineChars="200"/>
        <w:rPr>
          <w:rFonts w:hint="eastAsia" w:ascii="仿宋" w:hAnsi="仿宋" w:eastAsia="仿宋" w:cs="仿宋"/>
          <w:color w:val="auto"/>
          <w:sz w:val="24"/>
          <w:highlight w:val="none"/>
        </w:rPr>
      </w:pPr>
      <w:r>
        <w:rPr>
          <w:rFonts w:ascii="仿宋" w:hAnsi="仿宋" w:eastAsia="仿宋"/>
          <w:color w:val="auto"/>
          <w:szCs w:val="21"/>
          <w:highlight w:val="none"/>
        </w:rPr>
        <w:t>⑪</w:t>
      </w:r>
      <w:r>
        <w:rPr>
          <w:rFonts w:hint="eastAsia" w:ascii="仿宋" w:hAnsi="仿宋" w:eastAsia="仿宋"/>
          <w:color w:val="auto"/>
          <w:szCs w:val="21"/>
          <w:highlight w:val="none"/>
        </w:rPr>
        <w:t>存在其它严重违反合同约定或国家有关食品安全卫生标准行为的。</w:t>
      </w:r>
    </w:p>
    <w:p w14:paraId="34787DD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）乙方所供</w:t>
      </w:r>
      <w:r>
        <w:rPr>
          <w:rFonts w:hint="eastAsia" w:ascii="仿宋" w:hAnsi="仿宋" w:eastAsia="仿宋" w:cs="仿宋"/>
          <w:b w:val="0"/>
          <w:bCs w:val="0"/>
          <w:color w:val="auto"/>
          <w:kern w:val="2"/>
          <w:sz w:val="24"/>
          <w:szCs w:val="24"/>
          <w:highlight w:val="none"/>
          <w:lang w:val="en-US" w:eastAsia="zh-CN" w:bidi="ar-SA"/>
        </w:rPr>
        <w:t>食材</w:t>
      </w:r>
      <w:r>
        <w:rPr>
          <w:rFonts w:hint="eastAsia" w:ascii="仿宋" w:hAnsi="仿宋" w:eastAsia="仿宋" w:cs="仿宋"/>
          <w:color w:val="auto"/>
          <w:sz w:val="24"/>
          <w:highlight w:val="none"/>
        </w:rPr>
        <w:t>有效期不得少于整个质量有效期的1/3。</w:t>
      </w:r>
    </w:p>
    <w:p w14:paraId="153F74F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三</w:t>
      </w:r>
      <w:r>
        <w:rPr>
          <w:rFonts w:hint="eastAsia" w:ascii="仿宋" w:hAnsi="仿宋" w:eastAsia="仿宋" w:cs="仿宋"/>
          <w:color w:val="auto"/>
          <w:sz w:val="24"/>
          <w:highlight w:val="none"/>
        </w:rPr>
        <w:t>）验收以甲方</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指采购人，下同</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验收为准。乙方每次送货时必须按要求填制配送单据，配送单据包括物资品名、规格、计量单位、数量、单价、金额、配送日期、接收单位（人）、验收单位（人）等要素，配送单据由甲方伙食单位签字验收。</w:t>
      </w:r>
    </w:p>
    <w:p w14:paraId="455A4BE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四</w:t>
      </w:r>
      <w:r>
        <w:rPr>
          <w:rFonts w:hint="eastAsia" w:ascii="仿宋" w:hAnsi="仿宋" w:eastAsia="仿宋" w:cs="仿宋"/>
          <w:color w:val="auto"/>
          <w:sz w:val="24"/>
          <w:highlight w:val="none"/>
        </w:rPr>
        <w:t>）配送单据一式贰份，经验收人员现场签字后，甲方伙食单位、乙方各留存一份，作为验收和资金结算凭证。</w:t>
      </w:r>
    </w:p>
    <w:p w14:paraId="5105F72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五</w:t>
      </w:r>
      <w:r>
        <w:rPr>
          <w:rFonts w:hint="eastAsia" w:ascii="仿宋" w:hAnsi="仿宋" w:eastAsia="仿宋" w:cs="仿宋"/>
          <w:color w:val="auto"/>
          <w:sz w:val="24"/>
          <w:highlight w:val="none"/>
        </w:rPr>
        <w:t>）验收时，所供</w:t>
      </w:r>
      <w:r>
        <w:rPr>
          <w:rFonts w:hint="eastAsia" w:ascii="仿宋" w:hAnsi="仿宋" w:eastAsia="仿宋" w:cs="仿宋"/>
          <w:color w:val="auto"/>
          <w:sz w:val="24"/>
          <w:highlight w:val="none"/>
          <w:lang w:val="en-US" w:eastAsia="zh-CN"/>
        </w:rPr>
        <w:t>食材</w:t>
      </w:r>
      <w:r>
        <w:rPr>
          <w:rFonts w:hint="eastAsia" w:ascii="仿宋" w:hAnsi="仿宋" w:eastAsia="仿宋" w:cs="仿宋"/>
          <w:color w:val="auto"/>
          <w:sz w:val="24"/>
          <w:highlight w:val="none"/>
        </w:rPr>
        <w:t>品数、质量不符合要求的，甲方有权要求乙方进行调换或补充，由此产生的费用由乙方承担。</w:t>
      </w:r>
    </w:p>
    <w:p w14:paraId="18CC9AAA">
      <w:pPr>
        <w:pStyle w:val="5"/>
        <w:spacing w:before="0"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、结算办法和价格</w:t>
      </w:r>
    </w:p>
    <w:p w14:paraId="7BF1B6B3">
      <w:pPr>
        <w:spacing w:line="360" w:lineRule="auto"/>
        <w:ind w:firstLine="482" w:firstLineChars="200"/>
        <w:rPr>
          <w:rFonts w:hint="default"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lang w:val="en-US" w:eastAsia="zh-CN"/>
        </w:rPr>
        <w:t>一</w:t>
      </w:r>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lang w:val="en-US" w:eastAsia="zh-CN"/>
        </w:rPr>
        <w:t>本项目成交后每包件各单位配送份额由采购人统一制定，成交供应商不得无故不配合配送，否则采购人有权做相应处罚，甚至解除合同。</w:t>
      </w:r>
    </w:p>
    <w:p w14:paraId="2E8574F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）先供货后结算，按</w:t>
      </w:r>
      <w:r>
        <w:rPr>
          <w:rFonts w:hint="eastAsia" w:ascii="仿宋" w:hAnsi="仿宋" w:eastAsia="仿宋" w:cs="仿宋"/>
          <w:color w:val="auto"/>
          <w:sz w:val="24"/>
          <w:highlight w:val="none"/>
          <w:lang w:val="en-US" w:eastAsia="zh-CN"/>
        </w:rPr>
        <w:t>季度进行</w:t>
      </w:r>
      <w:r>
        <w:rPr>
          <w:rFonts w:hint="eastAsia" w:ascii="仿宋" w:hAnsi="仿宋" w:eastAsia="仿宋" w:cs="仿宋"/>
          <w:color w:val="auto"/>
          <w:sz w:val="24"/>
          <w:highlight w:val="none"/>
        </w:rPr>
        <w:t>结算。</w:t>
      </w:r>
      <w:r>
        <w:rPr>
          <w:rFonts w:hint="eastAsia" w:ascii="仿宋" w:hAnsi="仿宋" w:eastAsia="仿宋" w:cs="仿宋"/>
          <w:color w:val="auto"/>
          <w:sz w:val="24"/>
          <w:highlight w:val="none"/>
          <w:lang w:val="en-US" w:eastAsia="zh-CN"/>
        </w:rPr>
        <w:t>供应商每季度</w:t>
      </w:r>
      <w:r>
        <w:rPr>
          <w:rFonts w:hint="eastAsia" w:ascii="仿宋" w:hAnsi="仿宋" w:eastAsia="仿宋" w:cs="仿宋"/>
          <w:color w:val="auto"/>
          <w:sz w:val="24"/>
          <w:highlight w:val="none"/>
        </w:rPr>
        <w:t>供货完毕后，</w:t>
      </w:r>
      <w:r>
        <w:rPr>
          <w:rFonts w:hint="eastAsia" w:ascii="仿宋" w:hAnsi="仿宋" w:eastAsia="仿宋" w:cs="仿宋"/>
          <w:color w:val="auto"/>
          <w:sz w:val="24"/>
          <w:highlight w:val="none"/>
          <w:lang w:val="en-US" w:eastAsia="zh-CN"/>
        </w:rPr>
        <w:t>采购人安采购人付款流程</w:t>
      </w:r>
      <w:r>
        <w:rPr>
          <w:rFonts w:hint="eastAsia" w:ascii="仿宋" w:hAnsi="仿宋" w:eastAsia="仿宋" w:cs="仿宋"/>
          <w:color w:val="auto"/>
          <w:sz w:val="24"/>
          <w:highlight w:val="none"/>
        </w:rPr>
        <w:t>完成该批货款支付。</w:t>
      </w:r>
    </w:p>
    <w:p w14:paraId="08447D4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三</w:t>
      </w:r>
      <w:r>
        <w:rPr>
          <w:rFonts w:hint="eastAsia" w:ascii="仿宋" w:hAnsi="仿宋" w:eastAsia="仿宋" w:cs="仿宋"/>
          <w:color w:val="auto"/>
          <w:sz w:val="24"/>
          <w:highlight w:val="none"/>
        </w:rPr>
        <w:t>）甲方应在规定时间内完成货款结算支付，有特殊原因延期时，应当及时向乙方做出说明。</w:t>
      </w:r>
    </w:p>
    <w:p w14:paraId="74B7DD0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四</w:t>
      </w:r>
      <w:r>
        <w:rPr>
          <w:rFonts w:hint="eastAsia" w:ascii="仿宋" w:hAnsi="仿宋" w:eastAsia="仿宋" w:cs="仿宋"/>
          <w:color w:val="auto"/>
          <w:sz w:val="24"/>
          <w:highlight w:val="none"/>
        </w:rPr>
        <w:t>）</w:t>
      </w:r>
      <w:r>
        <w:rPr>
          <w:rFonts w:hint="eastAsia" w:ascii="仿宋" w:hAnsi="仿宋" w:eastAsia="仿宋" w:cs="仿宋"/>
          <w:b/>
          <w:bCs/>
          <w:color w:val="auto"/>
          <w:sz w:val="24"/>
          <w:highlight w:val="none"/>
        </w:rPr>
        <w:t>本项目报价采取费率报价。</w:t>
      </w:r>
      <w:r>
        <w:rPr>
          <w:rFonts w:hint="eastAsia" w:ascii="仿宋" w:hAnsi="仿宋" w:eastAsia="仿宋" w:cs="仿宋"/>
          <w:b/>
          <w:bCs/>
          <w:color w:val="auto"/>
          <w:sz w:val="24"/>
          <w:szCs w:val="24"/>
          <w:highlight w:val="none"/>
          <w:lang w:val="en-US" w:eastAsia="zh-CN"/>
        </w:rPr>
        <w:t>以合肥周谷堆农产品批发市场官网每日最新批发报价的折扣率进行报价</w:t>
      </w:r>
      <w:r>
        <w:rPr>
          <w:rFonts w:hint="eastAsia" w:ascii="仿宋" w:hAnsi="仿宋" w:eastAsia="仿宋" w:cs="仿宋"/>
          <w:color w:val="auto"/>
          <w:sz w:val="24"/>
          <w:highlight w:val="none"/>
        </w:rPr>
        <w:t>〔如：如A类物品市场价为20元/斤，若</w:t>
      </w: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报的费率为</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0%，那么A类物品结算价为20元/斤×</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0%=1</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元/斤。〕根据实际采购量，每</w:t>
      </w:r>
      <w:r>
        <w:rPr>
          <w:rFonts w:hint="eastAsia" w:ascii="仿宋" w:hAnsi="仿宋" w:eastAsia="仿宋" w:cs="仿宋"/>
          <w:color w:val="auto"/>
          <w:sz w:val="24"/>
          <w:highlight w:val="none"/>
          <w:lang w:val="en-US" w:eastAsia="zh-CN"/>
        </w:rPr>
        <w:t>季度</w:t>
      </w:r>
      <w:r>
        <w:rPr>
          <w:rFonts w:hint="eastAsia" w:ascii="仿宋" w:hAnsi="仿宋" w:eastAsia="仿宋" w:cs="仿宋"/>
          <w:color w:val="auto"/>
          <w:sz w:val="24"/>
          <w:highlight w:val="none"/>
        </w:rPr>
        <w:t>按照最终结算价，与供应商结算货款。如遇自然灾害等不可预见的因素造成的个别品种价格需临时做调整的，</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应遵循当时的市场价格标准，事先与采购人协商并在采购人书面同意后方可调整。在合同期间</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不得另行收取费用，最终结算金额不超过本项目预算。</w:t>
      </w:r>
    </w:p>
    <w:p w14:paraId="27C03DF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四</w:t>
      </w:r>
      <w:r>
        <w:rPr>
          <w:rFonts w:hint="eastAsia" w:ascii="仿宋" w:hAnsi="仿宋" w:eastAsia="仿宋" w:cs="仿宋"/>
          <w:color w:val="auto"/>
          <w:sz w:val="24"/>
          <w:highlight w:val="none"/>
        </w:rPr>
        <w:t>）乙方</w:t>
      </w:r>
      <w:r>
        <w:rPr>
          <w:rFonts w:hint="eastAsia" w:ascii="仿宋" w:hAnsi="仿宋" w:eastAsia="仿宋" w:cs="仿宋"/>
          <w:color w:val="auto"/>
          <w:sz w:val="24"/>
          <w:highlight w:val="none"/>
          <w:lang w:val="en-US" w:eastAsia="zh-CN"/>
        </w:rPr>
        <w:t>食材</w:t>
      </w:r>
      <w:r>
        <w:rPr>
          <w:rFonts w:hint="eastAsia" w:ascii="仿宋" w:hAnsi="仿宋" w:eastAsia="仿宋" w:cs="仿宋"/>
          <w:color w:val="auto"/>
          <w:sz w:val="24"/>
          <w:highlight w:val="none"/>
        </w:rPr>
        <w:t>供应配送过程中产生的加工费、包装费、人工费、运输费、税费等交付验收前的一切费用应计入企业运营成本，不得向甲方额外加价收费。</w:t>
      </w:r>
    </w:p>
    <w:p w14:paraId="72327200">
      <w:pPr>
        <w:pStyle w:val="5"/>
        <w:spacing w:before="0"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、违约责任</w:t>
      </w:r>
    </w:p>
    <w:p w14:paraId="7F658E8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（一）乙方无正当理由不能按约定时间保障供应的，或者未能按约定的品种、数量和加工、包装要求供货的，对甲方饮食供应保障造成一定影响，每次</w:t>
      </w:r>
      <w:r>
        <w:rPr>
          <w:rFonts w:hint="eastAsia" w:ascii="仿宋" w:hAnsi="仿宋" w:eastAsia="仿宋" w:cs="仿宋"/>
          <w:color w:val="auto"/>
          <w:sz w:val="24"/>
          <w:highlight w:val="none"/>
          <w:lang w:val="en-US" w:eastAsia="zh-CN"/>
        </w:rPr>
        <w:t>处罚当季度结算金额</w:t>
      </w:r>
      <w:r>
        <w:rPr>
          <w:rFonts w:hint="eastAsia" w:ascii="仿宋" w:hAnsi="仿宋" w:eastAsia="仿宋" w:cs="仿宋"/>
          <w:color w:val="auto"/>
          <w:sz w:val="24"/>
          <w:highlight w:val="none"/>
        </w:rPr>
        <w:t>的5%，类似情形超过5次的，取消乙方</w:t>
      </w:r>
      <w:r>
        <w:rPr>
          <w:rFonts w:hint="eastAsia" w:ascii="仿宋" w:hAnsi="仿宋" w:eastAsia="仿宋" w:cs="仿宋"/>
          <w:color w:val="auto"/>
          <w:sz w:val="24"/>
          <w:highlight w:val="none"/>
          <w:lang w:val="en-US" w:eastAsia="zh-CN"/>
        </w:rPr>
        <w:t>食材</w:t>
      </w:r>
      <w:r>
        <w:rPr>
          <w:rFonts w:hint="eastAsia" w:ascii="仿宋" w:hAnsi="仿宋" w:eastAsia="仿宋" w:cs="仿宋"/>
          <w:color w:val="auto"/>
          <w:sz w:val="24"/>
          <w:highlight w:val="none"/>
        </w:rPr>
        <w:t>供应资格并没收其全部履约保证金。</w:t>
      </w:r>
    </w:p>
    <w:p w14:paraId="6686049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（二）乙方进行商业贿赂、欺骗、欺诈，哄抬物价，提供虚假发票的，发现一次即取消乙方</w:t>
      </w:r>
      <w:r>
        <w:rPr>
          <w:rFonts w:hint="eastAsia" w:ascii="仿宋" w:hAnsi="仿宋" w:eastAsia="仿宋" w:cs="仿宋"/>
          <w:color w:val="auto"/>
          <w:sz w:val="24"/>
          <w:highlight w:val="none"/>
          <w:lang w:val="en-US" w:eastAsia="zh-CN"/>
        </w:rPr>
        <w:t>食材</w:t>
      </w:r>
      <w:r>
        <w:rPr>
          <w:rFonts w:hint="eastAsia" w:ascii="仿宋" w:hAnsi="仿宋" w:eastAsia="仿宋" w:cs="仿宋"/>
          <w:color w:val="auto"/>
          <w:sz w:val="24"/>
          <w:highlight w:val="none"/>
        </w:rPr>
        <w:t>供应资格并</w:t>
      </w:r>
      <w:r>
        <w:rPr>
          <w:rFonts w:hint="eastAsia" w:ascii="仿宋" w:hAnsi="仿宋" w:eastAsia="仿宋" w:cs="仿宋"/>
          <w:color w:val="auto"/>
          <w:sz w:val="24"/>
          <w:highlight w:val="none"/>
          <w:lang w:val="en-US" w:eastAsia="zh-CN"/>
        </w:rPr>
        <w:t>不予结算</w:t>
      </w:r>
      <w:r>
        <w:rPr>
          <w:rFonts w:hint="eastAsia" w:ascii="仿宋" w:hAnsi="仿宋" w:eastAsia="仿宋" w:cs="仿宋"/>
          <w:color w:val="auto"/>
          <w:sz w:val="24"/>
          <w:highlight w:val="none"/>
        </w:rPr>
        <w:t>。</w:t>
      </w:r>
    </w:p>
    <w:p w14:paraId="306F51D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（三）乙方供货过程中出现数量问题时，且不能证明以上行为的偶然性或非故意性，对甲方饮食供应保障造成一定影响，每次</w:t>
      </w:r>
      <w:r>
        <w:rPr>
          <w:rFonts w:hint="eastAsia" w:ascii="仿宋" w:hAnsi="仿宋" w:eastAsia="仿宋" w:cs="仿宋"/>
          <w:color w:val="auto"/>
          <w:sz w:val="24"/>
          <w:highlight w:val="none"/>
          <w:lang w:val="en-US" w:eastAsia="zh-CN"/>
        </w:rPr>
        <w:t>扣除当季结算</w:t>
      </w:r>
      <w:r>
        <w:rPr>
          <w:rFonts w:hint="eastAsia" w:ascii="仿宋" w:hAnsi="仿宋" w:eastAsia="仿宋" w:cs="仿宋"/>
          <w:color w:val="auto"/>
          <w:sz w:val="24"/>
          <w:highlight w:val="none"/>
        </w:rPr>
        <w:t>金额的3%，类似情形超过5次的，取消乙方</w:t>
      </w:r>
      <w:r>
        <w:rPr>
          <w:rFonts w:hint="eastAsia" w:ascii="仿宋" w:hAnsi="仿宋" w:eastAsia="仿宋" w:cs="仿宋"/>
          <w:color w:val="auto"/>
          <w:sz w:val="24"/>
          <w:highlight w:val="none"/>
          <w:lang w:val="en-US" w:eastAsia="zh-CN"/>
        </w:rPr>
        <w:t>食材</w:t>
      </w:r>
      <w:r>
        <w:rPr>
          <w:rFonts w:hint="eastAsia" w:ascii="仿宋" w:hAnsi="仿宋" w:eastAsia="仿宋" w:cs="仿宋"/>
          <w:color w:val="auto"/>
          <w:sz w:val="24"/>
          <w:highlight w:val="none"/>
        </w:rPr>
        <w:t>供应资格。</w:t>
      </w:r>
    </w:p>
    <w:p w14:paraId="6763E7C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（四）对因乙方供应</w:t>
      </w:r>
      <w:r>
        <w:rPr>
          <w:rFonts w:hint="eastAsia" w:ascii="仿宋" w:hAnsi="仿宋" w:eastAsia="仿宋" w:cs="仿宋"/>
          <w:color w:val="auto"/>
          <w:sz w:val="24"/>
          <w:highlight w:val="none"/>
          <w:lang w:val="en-US" w:eastAsia="zh-CN"/>
        </w:rPr>
        <w:t>食材</w:t>
      </w:r>
      <w:r>
        <w:rPr>
          <w:rFonts w:hint="eastAsia" w:ascii="仿宋" w:hAnsi="仿宋" w:eastAsia="仿宋" w:cs="仿宋"/>
          <w:color w:val="auto"/>
          <w:sz w:val="24"/>
          <w:highlight w:val="none"/>
        </w:rPr>
        <w:t>质量问题造成食品中毒或其他事故的，取消乙方</w:t>
      </w:r>
      <w:r>
        <w:rPr>
          <w:rFonts w:hint="eastAsia" w:ascii="仿宋" w:hAnsi="仿宋" w:eastAsia="仿宋" w:cs="仿宋"/>
          <w:color w:val="auto"/>
          <w:sz w:val="24"/>
          <w:highlight w:val="none"/>
          <w:lang w:val="en-US" w:eastAsia="zh-CN"/>
        </w:rPr>
        <w:t>食材</w:t>
      </w:r>
      <w:r>
        <w:rPr>
          <w:rFonts w:hint="eastAsia" w:ascii="仿宋" w:hAnsi="仿宋" w:eastAsia="仿宋" w:cs="仿宋"/>
          <w:color w:val="auto"/>
          <w:sz w:val="24"/>
          <w:highlight w:val="none"/>
        </w:rPr>
        <w:t>供应资格并追究乙方相应法律和经济责任。</w:t>
      </w:r>
    </w:p>
    <w:p w14:paraId="2CB640E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（五）甲方因特殊原因未能及时结算货款的，乙方不得单方面停止供货，应先向相关职能部门投诉解决。</w:t>
      </w:r>
    </w:p>
    <w:p w14:paraId="32BE230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（六）甲方没有尽到</w:t>
      </w:r>
      <w:r>
        <w:rPr>
          <w:rFonts w:hint="eastAsia" w:ascii="仿宋" w:hAnsi="仿宋" w:eastAsia="仿宋" w:cs="仿宋"/>
          <w:color w:val="auto"/>
          <w:sz w:val="24"/>
          <w:highlight w:val="none"/>
          <w:lang w:val="en-US" w:eastAsia="zh-CN"/>
        </w:rPr>
        <w:t>食材</w:t>
      </w:r>
      <w:r>
        <w:rPr>
          <w:rFonts w:hint="eastAsia" w:ascii="仿宋" w:hAnsi="仿宋" w:eastAsia="仿宋" w:cs="仿宋"/>
          <w:color w:val="auto"/>
          <w:sz w:val="24"/>
          <w:highlight w:val="none"/>
        </w:rPr>
        <w:t>需求调整告知义务，造成乙方重复配送的，由此产生的一切损失由甲方承担。</w:t>
      </w:r>
    </w:p>
    <w:p w14:paraId="4068A749">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（七）具体处罚措施</w:t>
      </w:r>
    </w:p>
    <w:p w14:paraId="7BD8E5F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1、乙方配送时间延迟，但未耽误保障任务的，每次扣</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00元；</w:t>
      </w:r>
    </w:p>
    <w:p w14:paraId="1D3358A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2、乙方配送食品缺斤少两的，每发现一项，除补齐外扣</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00元；</w:t>
      </w:r>
    </w:p>
    <w:p w14:paraId="55D8602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3、乙方配送食品临近保质期的（保质期后1／3），每发现一项扣</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00元；</w:t>
      </w:r>
    </w:p>
    <w:p w14:paraId="2B3119E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4、乙方配送食品以次充好的，每发现一次扣</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00元；</w:t>
      </w:r>
    </w:p>
    <w:p w14:paraId="00709A1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5、乙方配送食品超保质期的，每发现一次扣</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00元；</w:t>
      </w:r>
    </w:p>
    <w:p w14:paraId="2C9921F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6、乙方配送单据结算价格高于约定的供应价格，每发现一项，第一次处罚</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00元，第二次处罚</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00元，第三次我方有权解除合同；</w:t>
      </w:r>
    </w:p>
    <w:p w14:paraId="7CB435E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7、供应价格明显高于市场价，甲方约谈三次仍未改的，将终止配送合同，扣除履约保证金；</w:t>
      </w:r>
    </w:p>
    <w:p w14:paraId="37371C3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8、配送车辆违反交通法规和甲方规定，发生交通事故的，造成甲方人员伤亡的，视情终止配送合同，并追究法律和民事责任；</w:t>
      </w:r>
    </w:p>
    <w:p w14:paraId="33150F1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9、乙方配送的食品，出现过期、腐烂变质、农药超标，甲方有权单方面终止配送合同，并追究法律和民事责任；</w:t>
      </w:r>
    </w:p>
    <w:p w14:paraId="2D5A0DB1">
      <w:pPr>
        <w:pStyle w:val="5"/>
        <w:spacing w:before="0"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rPr>
        <w:t>、供货地点</w:t>
      </w:r>
    </w:p>
    <w:p w14:paraId="178A1244">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eastAsia="zh-CN"/>
        </w:rPr>
        <w:t>安徽万丰祥餐饮经营管理有限公司</w:t>
      </w:r>
      <w:r>
        <w:rPr>
          <w:rFonts w:hint="eastAsia" w:ascii="仿宋" w:hAnsi="仿宋" w:eastAsia="仿宋" w:cs="仿宋"/>
          <w:color w:val="auto"/>
          <w:sz w:val="24"/>
          <w:highlight w:val="none"/>
          <w:lang w:val="en-US" w:eastAsia="zh-CN"/>
        </w:rPr>
        <w:t>指定地点</w:t>
      </w:r>
    </w:p>
    <w:bookmarkEnd w:id="420"/>
    <w:p w14:paraId="0CFDC395">
      <w:pPr>
        <w:spacing w:line="400" w:lineRule="exact"/>
        <w:jc w:val="center"/>
        <w:rPr>
          <w:rFonts w:ascii="Times New Roman" w:hAnsi="Times New Roman"/>
          <w:color w:val="auto"/>
          <w:highlight w:val="none"/>
        </w:rPr>
      </w:pPr>
      <w:r>
        <w:rPr>
          <w:rFonts w:ascii="Times New Roman" w:hAnsi="Times New Roman"/>
          <w:color w:val="auto"/>
          <w:highlight w:val="none"/>
        </w:rPr>
        <w:br w:type="page"/>
      </w:r>
    </w:p>
    <w:bookmarkEnd w:id="403"/>
    <w:bookmarkEnd w:id="404"/>
    <w:bookmarkEnd w:id="405"/>
    <w:bookmarkEnd w:id="406"/>
    <w:p w14:paraId="6C53AF88">
      <w:pPr>
        <w:rPr>
          <w:color w:val="auto"/>
          <w:highlight w:val="none"/>
        </w:rPr>
      </w:pPr>
      <w:bookmarkStart w:id="421" w:name="_Toc501460784"/>
    </w:p>
    <w:p w14:paraId="00A954FC">
      <w:pPr>
        <w:rPr>
          <w:color w:val="auto"/>
          <w:highlight w:val="none"/>
        </w:rPr>
      </w:pPr>
    </w:p>
    <w:p w14:paraId="340A30DE">
      <w:pPr>
        <w:rPr>
          <w:color w:val="auto"/>
          <w:highlight w:val="none"/>
        </w:rPr>
      </w:pPr>
    </w:p>
    <w:p w14:paraId="73AD21B0">
      <w:pPr>
        <w:rPr>
          <w:color w:val="auto"/>
          <w:highlight w:val="none"/>
        </w:rPr>
      </w:pPr>
    </w:p>
    <w:p w14:paraId="79BE3786">
      <w:pPr>
        <w:rPr>
          <w:color w:val="auto"/>
          <w:highlight w:val="none"/>
        </w:rPr>
      </w:pPr>
    </w:p>
    <w:p w14:paraId="3C5E6F7E">
      <w:pPr>
        <w:rPr>
          <w:color w:val="auto"/>
          <w:highlight w:val="none"/>
        </w:rPr>
      </w:pPr>
    </w:p>
    <w:p w14:paraId="7D257BFF">
      <w:pPr>
        <w:rPr>
          <w:color w:val="auto"/>
          <w:highlight w:val="none"/>
        </w:rPr>
      </w:pPr>
    </w:p>
    <w:p w14:paraId="0BB3A432">
      <w:pPr>
        <w:rPr>
          <w:color w:val="auto"/>
          <w:highlight w:val="none"/>
        </w:rPr>
      </w:pPr>
    </w:p>
    <w:p w14:paraId="1013D427">
      <w:pPr>
        <w:pStyle w:val="4"/>
        <w:jc w:val="center"/>
        <w:rPr>
          <w:rFonts w:hint="eastAsia" w:ascii="仿宋" w:hAnsi="仿宋" w:eastAsia="仿宋" w:cs="仿宋"/>
          <w:color w:val="auto"/>
          <w:highlight w:val="none"/>
        </w:rPr>
      </w:pPr>
      <w:bookmarkStart w:id="422" w:name="_Toc22185"/>
      <w:r>
        <w:rPr>
          <w:rFonts w:hint="eastAsia" w:ascii="仿宋" w:hAnsi="仿宋" w:eastAsia="仿宋" w:cs="仿宋"/>
          <w:color w:val="auto"/>
          <w:highlight w:val="none"/>
        </w:rPr>
        <w:t>第六章  响应文件格式</w:t>
      </w:r>
      <w:bookmarkEnd w:id="421"/>
      <w:bookmarkEnd w:id="422"/>
    </w:p>
    <w:p w14:paraId="0F3D623B">
      <w:pPr>
        <w:spacing w:line="400" w:lineRule="exact"/>
        <w:rPr>
          <w:rFonts w:ascii="Times New Roman" w:hAnsi="Times New Roman"/>
          <w:color w:val="auto"/>
          <w:highlight w:val="none"/>
        </w:rPr>
      </w:pPr>
    </w:p>
    <w:p w14:paraId="25B3F687">
      <w:pPr>
        <w:spacing w:line="400" w:lineRule="exact"/>
        <w:rPr>
          <w:rFonts w:ascii="Times New Roman" w:hAnsi="Times New Roman"/>
          <w:color w:val="auto"/>
          <w:highlight w:val="none"/>
        </w:rPr>
      </w:pPr>
      <w:r>
        <w:rPr>
          <w:rFonts w:ascii="Times New Roman" w:hAnsi="Times New Roman"/>
          <w:color w:val="auto"/>
          <w:highlight w:val="none"/>
        </w:rPr>
        <w:br w:type="page"/>
      </w:r>
    </w:p>
    <w:p w14:paraId="3B5B9F45">
      <w:pPr>
        <w:spacing w:line="400" w:lineRule="exact"/>
        <w:rPr>
          <w:rFonts w:ascii="Times New Roman" w:hAnsi="Times New Roman"/>
          <w:color w:val="auto"/>
          <w:highlight w:val="none"/>
        </w:rPr>
      </w:pPr>
    </w:p>
    <w:p w14:paraId="0716F639">
      <w:pPr>
        <w:spacing w:line="400" w:lineRule="exact"/>
        <w:rPr>
          <w:rFonts w:ascii="Times New Roman" w:hAnsi="Times New Roman"/>
          <w:color w:val="auto"/>
          <w:highlight w:val="none"/>
        </w:rPr>
      </w:pPr>
    </w:p>
    <w:p w14:paraId="7B5A7832">
      <w:pPr>
        <w:spacing w:line="400" w:lineRule="exact"/>
        <w:rPr>
          <w:rFonts w:ascii="Times New Roman" w:hAnsi="Times New Roman"/>
          <w:color w:val="auto"/>
          <w:highlight w:val="none"/>
        </w:rPr>
      </w:pPr>
    </w:p>
    <w:p w14:paraId="4336AD93">
      <w:pPr>
        <w:jc w:val="center"/>
        <w:rPr>
          <w:rFonts w:hint="eastAsia" w:ascii="仿宋" w:hAnsi="仿宋" w:eastAsia="仿宋" w:cs="仿宋"/>
          <w:color w:val="auto"/>
          <w:sz w:val="28"/>
          <w:szCs w:val="28"/>
          <w:highlight w:val="none"/>
          <w:u w:val="single"/>
        </w:rPr>
      </w:pPr>
    </w:p>
    <w:p w14:paraId="2A445039">
      <w:pPr>
        <w:jc w:val="center"/>
        <w:rPr>
          <w:rFonts w:hint="eastAsia" w:ascii="仿宋" w:hAnsi="仿宋" w:eastAsia="仿宋" w:cs="仿宋"/>
          <w:color w:val="auto"/>
          <w:sz w:val="28"/>
          <w:szCs w:val="28"/>
          <w:highlight w:val="none"/>
          <w:u w:val="single"/>
        </w:rPr>
      </w:pPr>
    </w:p>
    <w:p w14:paraId="21F0056F">
      <w:pPr>
        <w:jc w:val="center"/>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u w:val="single"/>
        </w:rPr>
        <w:t xml:space="preserve">                 （项目名称）</w:t>
      </w:r>
    </w:p>
    <w:p w14:paraId="3E0D1CA6">
      <w:pPr>
        <w:rPr>
          <w:rFonts w:hint="eastAsia" w:ascii="仿宋" w:hAnsi="仿宋" w:eastAsia="仿宋" w:cs="仿宋"/>
          <w:color w:val="auto"/>
          <w:sz w:val="20"/>
          <w:highlight w:val="none"/>
        </w:rPr>
      </w:pPr>
    </w:p>
    <w:p w14:paraId="1EA71F5D">
      <w:pPr>
        <w:rPr>
          <w:rFonts w:hint="eastAsia" w:ascii="仿宋" w:hAnsi="仿宋" w:eastAsia="仿宋" w:cs="仿宋"/>
          <w:color w:val="auto"/>
          <w:sz w:val="20"/>
          <w:highlight w:val="none"/>
        </w:rPr>
      </w:pPr>
    </w:p>
    <w:p w14:paraId="52414FCE">
      <w:pPr>
        <w:jc w:val="center"/>
        <w:rPr>
          <w:rFonts w:hint="eastAsia" w:ascii="仿宋" w:hAnsi="仿宋" w:eastAsia="仿宋" w:cs="仿宋"/>
          <w:color w:val="auto"/>
          <w:sz w:val="44"/>
          <w:highlight w:val="none"/>
        </w:rPr>
      </w:pPr>
      <w:r>
        <w:rPr>
          <w:rFonts w:hint="eastAsia" w:ascii="仿宋" w:hAnsi="仿宋" w:eastAsia="仿宋" w:cs="仿宋"/>
          <w:color w:val="auto"/>
          <w:sz w:val="44"/>
          <w:highlight w:val="none"/>
        </w:rPr>
        <w:t>响应文件</w:t>
      </w:r>
    </w:p>
    <w:p w14:paraId="7D0F0E18">
      <w:pPr>
        <w:jc w:val="center"/>
        <w:rPr>
          <w:rFonts w:hint="eastAsia" w:ascii="仿宋" w:hAnsi="仿宋" w:eastAsia="仿宋" w:cs="仿宋"/>
          <w:color w:val="auto"/>
          <w:sz w:val="44"/>
          <w:highlight w:val="none"/>
        </w:rPr>
      </w:pPr>
    </w:p>
    <w:p w14:paraId="67586E85">
      <w:pPr>
        <w:rPr>
          <w:rFonts w:hint="eastAsia" w:ascii="仿宋" w:hAnsi="仿宋" w:eastAsia="仿宋" w:cs="仿宋"/>
          <w:color w:val="auto"/>
          <w:sz w:val="28"/>
          <w:highlight w:val="none"/>
        </w:rPr>
      </w:pPr>
    </w:p>
    <w:p w14:paraId="5A7B4330">
      <w:pPr>
        <w:rPr>
          <w:rFonts w:hint="eastAsia" w:ascii="仿宋" w:hAnsi="仿宋" w:eastAsia="仿宋" w:cs="仿宋"/>
          <w:color w:val="auto"/>
          <w:sz w:val="28"/>
          <w:highlight w:val="none"/>
        </w:rPr>
      </w:pPr>
    </w:p>
    <w:p w14:paraId="28DDFCE5">
      <w:pPr>
        <w:rPr>
          <w:rFonts w:hint="eastAsia" w:ascii="仿宋" w:hAnsi="仿宋" w:eastAsia="仿宋" w:cs="仿宋"/>
          <w:color w:val="auto"/>
          <w:sz w:val="28"/>
          <w:highlight w:val="none"/>
        </w:rPr>
      </w:pPr>
    </w:p>
    <w:p w14:paraId="5B591230">
      <w:pPr>
        <w:rPr>
          <w:rFonts w:hint="eastAsia" w:ascii="仿宋" w:hAnsi="仿宋" w:eastAsia="仿宋" w:cs="仿宋"/>
          <w:color w:val="auto"/>
          <w:sz w:val="28"/>
          <w:highlight w:val="none"/>
        </w:rPr>
      </w:pPr>
    </w:p>
    <w:p w14:paraId="0FA4FA7F">
      <w:pPr>
        <w:rPr>
          <w:rFonts w:hint="eastAsia" w:ascii="仿宋" w:hAnsi="仿宋" w:eastAsia="仿宋" w:cs="仿宋"/>
          <w:color w:val="auto"/>
          <w:sz w:val="28"/>
          <w:highlight w:val="none"/>
        </w:rPr>
      </w:pPr>
    </w:p>
    <w:p w14:paraId="3F24D5BA">
      <w:pPr>
        <w:rPr>
          <w:rFonts w:hint="eastAsia" w:ascii="仿宋" w:hAnsi="仿宋" w:eastAsia="仿宋" w:cs="仿宋"/>
          <w:color w:val="auto"/>
          <w:sz w:val="28"/>
          <w:highlight w:val="none"/>
        </w:rPr>
      </w:pPr>
    </w:p>
    <w:p w14:paraId="328E8952">
      <w:pPr>
        <w:rPr>
          <w:rFonts w:hint="eastAsia" w:ascii="仿宋" w:hAnsi="仿宋" w:eastAsia="仿宋" w:cs="仿宋"/>
          <w:color w:val="auto"/>
          <w:sz w:val="28"/>
          <w:highlight w:val="none"/>
        </w:rPr>
      </w:pPr>
    </w:p>
    <w:p w14:paraId="3DF16487">
      <w:pPr>
        <w:rPr>
          <w:rFonts w:hint="eastAsia" w:ascii="仿宋" w:hAnsi="仿宋" w:eastAsia="仿宋" w:cs="仿宋"/>
          <w:color w:val="auto"/>
          <w:sz w:val="28"/>
          <w:highlight w:val="none"/>
        </w:rPr>
      </w:pPr>
    </w:p>
    <w:p w14:paraId="04CC56E8">
      <w:pPr>
        <w:rPr>
          <w:rFonts w:hint="eastAsia" w:ascii="仿宋" w:hAnsi="仿宋" w:eastAsia="仿宋" w:cs="仿宋"/>
          <w:color w:val="auto"/>
          <w:sz w:val="28"/>
          <w:highlight w:val="none"/>
        </w:rPr>
      </w:pPr>
    </w:p>
    <w:p w14:paraId="10B5CA9A">
      <w:pPr>
        <w:rPr>
          <w:rFonts w:hint="eastAsia" w:ascii="仿宋" w:hAnsi="仿宋" w:eastAsia="仿宋" w:cs="仿宋"/>
          <w:color w:val="auto"/>
          <w:sz w:val="28"/>
          <w:highlight w:val="none"/>
        </w:rPr>
      </w:pPr>
    </w:p>
    <w:p w14:paraId="56AEA2ED">
      <w:pPr>
        <w:rPr>
          <w:rFonts w:hint="eastAsia" w:ascii="仿宋" w:hAnsi="仿宋" w:eastAsia="仿宋" w:cs="仿宋"/>
          <w:color w:val="auto"/>
          <w:sz w:val="28"/>
          <w:highlight w:val="none"/>
        </w:rPr>
      </w:pPr>
    </w:p>
    <w:p w14:paraId="61AA937F">
      <w:pPr>
        <w:rPr>
          <w:rFonts w:hint="eastAsia" w:ascii="仿宋" w:hAnsi="仿宋" w:eastAsia="仿宋" w:cs="仿宋"/>
          <w:color w:val="auto"/>
          <w:sz w:val="28"/>
          <w:highlight w:val="none"/>
        </w:rPr>
      </w:pPr>
    </w:p>
    <w:p w14:paraId="46A948F2">
      <w:pPr>
        <w:rPr>
          <w:rFonts w:hint="eastAsia" w:ascii="仿宋" w:hAnsi="仿宋" w:eastAsia="仿宋" w:cs="仿宋"/>
          <w:color w:val="auto"/>
          <w:sz w:val="28"/>
          <w:highlight w:val="none"/>
        </w:rPr>
      </w:pPr>
    </w:p>
    <w:p w14:paraId="0EA26B5F">
      <w:pPr>
        <w:rPr>
          <w:rFonts w:hint="eastAsia" w:ascii="仿宋" w:hAnsi="仿宋" w:eastAsia="仿宋" w:cs="仿宋"/>
          <w:color w:val="auto"/>
          <w:sz w:val="28"/>
          <w:highlight w:val="none"/>
        </w:rPr>
      </w:pPr>
    </w:p>
    <w:p w14:paraId="6CDB957E">
      <w:pPr>
        <w:rPr>
          <w:rFonts w:hint="eastAsia" w:ascii="仿宋" w:hAnsi="仿宋" w:eastAsia="仿宋" w:cs="仿宋"/>
          <w:color w:val="auto"/>
          <w:sz w:val="28"/>
          <w:highlight w:val="none"/>
        </w:rPr>
      </w:pPr>
    </w:p>
    <w:p w14:paraId="6D0D091B">
      <w:pPr>
        <w:rPr>
          <w:rFonts w:hint="eastAsia" w:ascii="仿宋" w:hAnsi="仿宋" w:eastAsia="仿宋" w:cs="仿宋"/>
          <w:color w:val="auto"/>
          <w:sz w:val="28"/>
          <w:highlight w:val="none"/>
        </w:rPr>
      </w:pPr>
    </w:p>
    <w:p w14:paraId="1978C8BB">
      <w:pPr>
        <w:rPr>
          <w:rFonts w:hint="eastAsia" w:ascii="仿宋" w:hAnsi="仿宋" w:eastAsia="仿宋" w:cs="仿宋"/>
          <w:color w:val="auto"/>
          <w:sz w:val="28"/>
          <w:highlight w:val="none"/>
        </w:rPr>
      </w:pPr>
    </w:p>
    <w:p w14:paraId="67DEB927">
      <w:pPr>
        <w:spacing w:line="360" w:lineRule="auto"/>
        <w:rPr>
          <w:rFonts w:hint="eastAsia" w:ascii="仿宋" w:hAnsi="仿宋" w:eastAsia="仿宋" w:cs="仿宋"/>
          <w:color w:val="auto"/>
          <w:sz w:val="28"/>
          <w:highlight w:val="none"/>
        </w:rPr>
      </w:pPr>
    </w:p>
    <w:p w14:paraId="65984B19">
      <w:pPr>
        <w:spacing w:line="360" w:lineRule="auto"/>
        <w:ind w:firstLine="1120" w:firstLineChars="400"/>
        <w:rPr>
          <w:rFonts w:hint="eastAsia" w:ascii="仿宋" w:hAnsi="仿宋" w:eastAsia="仿宋" w:cs="仿宋"/>
          <w:color w:val="auto"/>
          <w:sz w:val="28"/>
          <w:highlight w:val="none"/>
          <w:u w:val="single"/>
        </w:rPr>
      </w:pPr>
      <w:r>
        <w:rPr>
          <w:rFonts w:hint="eastAsia" w:ascii="仿宋" w:hAnsi="仿宋" w:eastAsia="仿宋" w:cs="仿宋"/>
          <w:color w:val="auto"/>
          <w:sz w:val="28"/>
          <w:highlight w:val="none"/>
        </w:rPr>
        <w:t>供应商：</w:t>
      </w:r>
      <w:r>
        <w:rPr>
          <w:rFonts w:hint="eastAsia" w:ascii="仿宋" w:hAnsi="仿宋" w:eastAsia="仿宋" w:cs="仿宋"/>
          <w:color w:val="auto"/>
          <w:highlight w:val="none"/>
          <w:u w:val="single"/>
        </w:rPr>
        <w:t xml:space="preserve">                                           </w:t>
      </w:r>
    </w:p>
    <w:p w14:paraId="5AD651CA">
      <w:pPr>
        <w:jc w:val="center"/>
        <w:rPr>
          <w:rFonts w:hint="eastAsia" w:ascii="仿宋" w:hAnsi="仿宋" w:eastAsia="仿宋" w:cs="仿宋"/>
          <w:color w:val="auto"/>
          <w:sz w:val="28"/>
          <w:highlight w:val="none"/>
        </w:rPr>
      </w:pPr>
    </w:p>
    <w:p w14:paraId="78C4E070">
      <w:pPr>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u w:val="single"/>
        </w:rPr>
        <w:t xml:space="preserve">       </w:t>
      </w:r>
      <w:r>
        <w:rPr>
          <w:rFonts w:hint="eastAsia" w:ascii="仿宋" w:hAnsi="仿宋" w:eastAsia="仿宋" w:cs="仿宋"/>
          <w:color w:val="auto"/>
          <w:sz w:val="28"/>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sz w:val="28"/>
          <w:highlight w:val="none"/>
        </w:rPr>
        <w:t>月</w:t>
      </w:r>
      <w:r>
        <w:rPr>
          <w:rFonts w:hint="eastAsia" w:ascii="仿宋" w:hAnsi="仿宋" w:eastAsia="仿宋" w:cs="仿宋"/>
          <w:color w:val="auto"/>
          <w:highlight w:val="none"/>
          <w:u w:val="single"/>
        </w:rPr>
        <w:t xml:space="preserve">       </w:t>
      </w:r>
      <w:r>
        <w:rPr>
          <w:rFonts w:hint="eastAsia" w:ascii="仿宋" w:hAnsi="仿宋" w:eastAsia="仿宋" w:cs="仿宋"/>
          <w:color w:val="auto"/>
          <w:sz w:val="28"/>
          <w:highlight w:val="none"/>
        </w:rPr>
        <w:t>日</w:t>
      </w:r>
      <w:r>
        <w:rPr>
          <w:rFonts w:hint="eastAsia" w:ascii="仿宋" w:hAnsi="仿宋" w:eastAsia="仿宋" w:cs="仿宋"/>
          <w:color w:val="auto"/>
          <w:highlight w:val="none"/>
        </w:rPr>
        <w:br w:type="page"/>
      </w:r>
    </w:p>
    <w:p w14:paraId="74F877F6">
      <w:pPr>
        <w:pStyle w:val="5"/>
        <w:jc w:val="center"/>
        <w:rPr>
          <w:rFonts w:hint="eastAsia" w:ascii="仿宋" w:hAnsi="仿宋" w:eastAsia="仿宋" w:cs="仿宋"/>
          <w:color w:val="auto"/>
          <w:highlight w:val="none"/>
        </w:rPr>
      </w:pPr>
      <w:bookmarkStart w:id="423" w:name="_Toc3673"/>
      <w:bookmarkStart w:id="424" w:name="_Toc501460785"/>
      <w:r>
        <w:rPr>
          <w:rFonts w:hint="eastAsia" w:ascii="仿宋" w:hAnsi="仿宋" w:eastAsia="仿宋" w:cs="仿宋"/>
          <w:color w:val="auto"/>
          <w:highlight w:val="none"/>
        </w:rPr>
        <w:t>目  录</w:t>
      </w:r>
      <w:bookmarkEnd w:id="423"/>
      <w:bookmarkEnd w:id="424"/>
    </w:p>
    <w:p w14:paraId="7FFF46C5">
      <w:pPr>
        <w:spacing w:line="540" w:lineRule="exact"/>
        <w:rPr>
          <w:rFonts w:hint="eastAsia" w:ascii="仿宋" w:hAnsi="仿宋" w:eastAsia="仿宋" w:cs="仿宋"/>
          <w:color w:val="auto"/>
          <w:highlight w:val="none"/>
        </w:rPr>
      </w:pPr>
    </w:p>
    <w:p w14:paraId="6152313A">
      <w:pPr>
        <w:spacing w:line="540" w:lineRule="exact"/>
        <w:rPr>
          <w:rFonts w:hint="eastAsia" w:ascii="仿宋" w:hAnsi="仿宋" w:eastAsia="仿宋" w:cs="仿宋"/>
          <w:color w:val="auto"/>
          <w:sz w:val="24"/>
          <w:szCs w:val="24"/>
          <w:highlight w:val="none"/>
        </w:rPr>
      </w:pPr>
      <w:bookmarkStart w:id="425" w:name="_Toc7039"/>
      <w:bookmarkStart w:id="426" w:name="_Toc352691655"/>
      <w:bookmarkStart w:id="427" w:name="_Toc369531691"/>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响应函</w:t>
      </w:r>
    </w:p>
    <w:p w14:paraId="494D67D0">
      <w:pPr>
        <w:spacing w:line="5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法定代表人（单位负责人）身份证明或授权委托书</w:t>
      </w:r>
    </w:p>
    <w:p w14:paraId="69A4A35E">
      <w:pPr>
        <w:spacing w:line="5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商务和技术偏差表</w:t>
      </w:r>
    </w:p>
    <w:p w14:paraId="14815326">
      <w:pPr>
        <w:spacing w:line="5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四、</w:t>
      </w:r>
      <w:r>
        <w:rPr>
          <w:rFonts w:hint="eastAsia" w:ascii="仿宋" w:hAnsi="仿宋" w:eastAsia="仿宋" w:cs="仿宋"/>
          <w:color w:val="auto"/>
          <w:sz w:val="24"/>
          <w:szCs w:val="24"/>
          <w:highlight w:val="none"/>
        </w:rPr>
        <w:t>资格审查资料</w:t>
      </w:r>
    </w:p>
    <w:p w14:paraId="463DF1A0">
      <w:pPr>
        <w:spacing w:line="5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业绩</w:t>
      </w:r>
    </w:p>
    <w:p w14:paraId="7D935F3E">
      <w:pPr>
        <w:spacing w:line="5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配送方案</w:t>
      </w:r>
    </w:p>
    <w:p w14:paraId="5230C5F6">
      <w:pPr>
        <w:spacing w:line="5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rPr>
        <w:t>服务承诺</w:t>
      </w:r>
    </w:p>
    <w:p w14:paraId="371696CF">
      <w:pPr>
        <w:spacing w:line="5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八、</w:t>
      </w:r>
      <w:r>
        <w:rPr>
          <w:rFonts w:hint="eastAsia" w:ascii="仿宋" w:hAnsi="仿宋" w:eastAsia="仿宋" w:cs="仿宋"/>
          <w:color w:val="auto"/>
          <w:sz w:val="24"/>
          <w:szCs w:val="24"/>
          <w:highlight w:val="none"/>
        </w:rPr>
        <w:t>其它资料</w:t>
      </w:r>
    </w:p>
    <w:p w14:paraId="3169A4F4">
      <w:pPr>
        <w:spacing w:line="540" w:lineRule="exact"/>
        <w:rPr>
          <w:rFonts w:hint="eastAsia" w:ascii="仿宋" w:hAnsi="仿宋" w:eastAsia="仿宋" w:cs="仿宋"/>
          <w:color w:val="auto"/>
          <w:sz w:val="20"/>
          <w:highlight w:val="none"/>
        </w:rPr>
      </w:pPr>
      <w:r>
        <w:rPr>
          <w:rFonts w:hint="eastAsia" w:ascii="仿宋" w:hAnsi="仿宋" w:eastAsia="仿宋" w:cs="仿宋"/>
          <w:color w:val="auto"/>
          <w:highlight w:val="none"/>
        </w:rPr>
        <w:br w:type="page"/>
      </w:r>
    </w:p>
    <w:bookmarkEnd w:id="407"/>
    <w:bookmarkEnd w:id="408"/>
    <w:bookmarkEnd w:id="409"/>
    <w:bookmarkEnd w:id="410"/>
    <w:bookmarkEnd w:id="411"/>
    <w:bookmarkEnd w:id="412"/>
    <w:bookmarkEnd w:id="413"/>
    <w:bookmarkEnd w:id="414"/>
    <w:bookmarkEnd w:id="415"/>
    <w:bookmarkEnd w:id="425"/>
    <w:bookmarkEnd w:id="426"/>
    <w:bookmarkEnd w:id="427"/>
    <w:p w14:paraId="4FD90373">
      <w:pPr>
        <w:pStyle w:val="5"/>
        <w:jc w:val="center"/>
        <w:rPr>
          <w:rFonts w:hint="eastAsia" w:ascii="仿宋" w:hAnsi="仿宋" w:eastAsia="仿宋" w:cs="仿宋"/>
          <w:color w:val="auto"/>
          <w:highlight w:val="none"/>
        </w:rPr>
      </w:pPr>
      <w:bookmarkStart w:id="428" w:name="_Toc501460786"/>
      <w:bookmarkStart w:id="429" w:name="_Toc1863"/>
      <w:bookmarkStart w:id="430" w:name="_Toc8283"/>
      <w:r>
        <w:rPr>
          <w:rFonts w:hint="eastAsia" w:ascii="仿宋" w:hAnsi="仿宋" w:eastAsia="仿宋" w:cs="仿宋"/>
          <w:color w:val="auto"/>
          <w:highlight w:val="none"/>
        </w:rPr>
        <w:t>一、</w:t>
      </w:r>
      <w:bookmarkEnd w:id="428"/>
      <w:bookmarkStart w:id="431" w:name="_Toc6931"/>
      <w:bookmarkStart w:id="432" w:name="_Toc369531692"/>
      <w:bookmarkStart w:id="433" w:name="_Toc352691656"/>
      <w:r>
        <w:rPr>
          <w:rFonts w:hint="eastAsia" w:ascii="仿宋" w:hAnsi="仿宋" w:eastAsia="仿宋" w:cs="仿宋"/>
          <w:color w:val="auto"/>
          <w:highlight w:val="none"/>
        </w:rPr>
        <w:t>响应函</w:t>
      </w:r>
      <w:bookmarkEnd w:id="429"/>
      <w:bookmarkEnd w:id="430"/>
    </w:p>
    <w:bookmarkEnd w:id="431"/>
    <w:bookmarkEnd w:id="432"/>
    <w:bookmarkEnd w:id="433"/>
    <w:p w14:paraId="10F3B0B5">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（采购人名称）</w:t>
      </w:r>
      <w:r>
        <w:rPr>
          <w:rFonts w:hint="eastAsia" w:ascii="仿宋" w:hAnsi="仿宋" w:eastAsia="仿宋" w:cs="仿宋"/>
          <w:color w:val="auto"/>
          <w:sz w:val="24"/>
          <w:szCs w:val="24"/>
          <w:highlight w:val="none"/>
        </w:rPr>
        <w:t>：</w:t>
      </w:r>
    </w:p>
    <w:p w14:paraId="6F123922">
      <w:pPr>
        <w:keepNext w:val="0"/>
        <w:keepLines w:val="0"/>
        <w:pageBreakBefore w:val="0"/>
        <w:widowControl w:val="0"/>
        <w:tabs>
          <w:tab w:val="left" w:pos="7560"/>
        </w:tabs>
        <w:kinsoku/>
        <w:wordWrap/>
        <w:overflowPunct/>
        <w:topLinePunct w:val="0"/>
        <w:autoSpaceDE/>
        <w:autoSpaceDN/>
        <w:bidi w:val="0"/>
        <w:adjustRightInd w:val="0"/>
        <w:snapToGrid w:val="0"/>
        <w:spacing w:before="48" w:beforeLines="20" w:after="48" w:afterLines="20" w:line="44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1．我方已仔细研究</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采购</w:t>
      </w:r>
      <w:r>
        <w:rPr>
          <w:rFonts w:hint="eastAsia" w:ascii="仿宋" w:hAnsi="仿宋" w:eastAsia="仿宋" w:cs="仿宋"/>
          <w:color w:val="auto"/>
          <w:sz w:val="24"/>
          <w:szCs w:val="24"/>
          <w:highlight w:val="none"/>
          <w:u w:val="single"/>
        </w:rPr>
        <w:t>项目名称）</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第</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none"/>
          <w:lang w:eastAsia="zh-CN"/>
        </w:rPr>
        <w:t>采购包</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w:t>
      </w:r>
      <w:r>
        <w:rPr>
          <w:rFonts w:hint="eastAsia" w:ascii="仿宋" w:hAnsi="仿宋" w:eastAsia="仿宋" w:cs="仿宋"/>
          <w:color w:val="auto"/>
          <w:sz w:val="24"/>
          <w:szCs w:val="24"/>
          <w:highlight w:val="none"/>
          <w:lang w:val="en-US" w:eastAsia="zh-CN"/>
        </w:rPr>
        <w:t>的全部内容</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我司响应报价为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并承诺按本</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文件、合同条款的条件、承担上述</w:t>
      </w:r>
      <w:r>
        <w:rPr>
          <w:rFonts w:hint="eastAsia" w:ascii="仿宋" w:hAnsi="仿宋" w:eastAsia="仿宋" w:cs="仿宋"/>
          <w:color w:val="auto"/>
          <w:sz w:val="24"/>
          <w:szCs w:val="24"/>
          <w:highlight w:val="none"/>
          <w:lang w:val="en-US" w:eastAsia="zh-CN"/>
        </w:rPr>
        <w:t>项目</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val="en-US" w:eastAsia="zh-CN"/>
        </w:rPr>
        <w:t>工作</w:t>
      </w:r>
      <w:r>
        <w:rPr>
          <w:rFonts w:hint="eastAsia" w:ascii="仿宋" w:hAnsi="仿宋" w:eastAsia="仿宋" w:cs="仿宋"/>
          <w:color w:val="auto"/>
          <w:sz w:val="24"/>
          <w:szCs w:val="24"/>
          <w:highlight w:val="none"/>
        </w:rPr>
        <w:t>。</w:t>
      </w:r>
    </w:p>
    <w:p w14:paraId="7A901BB9">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我方的响应文件包括下列内容：</w:t>
      </w:r>
    </w:p>
    <w:p w14:paraId="7A051CCB">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（1）响应函；</w:t>
      </w:r>
    </w:p>
    <w:p w14:paraId="198EF1D1">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（2）法定代表人（单位负责人）身份证明或授权委托书；</w:t>
      </w:r>
    </w:p>
    <w:p w14:paraId="764825B2">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）商务和技术偏差表；</w:t>
      </w:r>
    </w:p>
    <w:p w14:paraId="5BFAE3D8">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）资格审查资料；</w:t>
      </w:r>
    </w:p>
    <w:p w14:paraId="28B98604">
      <w:pPr>
        <w:spacing w:line="400" w:lineRule="exact"/>
        <w:ind w:firstLine="405"/>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业绩；</w:t>
      </w:r>
    </w:p>
    <w:p w14:paraId="4BDB041D">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配送</w:t>
      </w:r>
      <w:r>
        <w:rPr>
          <w:rFonts w:hint="eastAsia" w:ascii="Times New Roman" w:hAnsi="Times New Roman" w:eastAsia="仿宋"/>
          <w:color w:val="auto"/>
          <w:sz w:val="24"/>
          <w:szCs w:val="24"/>
          <w:highlight w:val="none"/>
          <w:lang w:val="en-US" w:eastAsia="zh-CN"/>
        </w:rPr>
        <w:t>方案</w:t>
      </w:r>
      <w:r>
        <w:rPr>
          <w:rFonts w:hint="eastAsia" w:ascii="仿宋" w:hAnsi="仿宋" w:eastAsia="仿宋" w:cs="仿宋"/>
          <w:color w:val="auto"/>
          <w:sz w:val="24"/>
          <w:szCs w:val="24"/>
          <w:highlight w:val="none"/>
        </w:rPr>
        <w:t>；</w:t>
      </w:r>
    </w:p>
    <w:p w14:paraId="7AFAC8E2">
      <w:pPr>
        <w:spacing w:line="400" w:lineRule="exact"/>
        <w:ind w:firstLine="405"/>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服务承诺；</w:t>
      </w:r>
    </w:p>
    <w:p w14:paraId="46E654EA">
      <w:pPr>
        <w:spacing w:line="400" w:lineRule="exact"/>
        <w:ind w:firstLine="405"/>
        <w:rPr>
          <w:rFonts w:hint="default" w:ascii="仿宋" w:hAnsi="仿宋" w:eastAsia="仿宋" w:cs="仿宋"/>
          <w:color w:val="auto"/>
          <w:sz w:val="24"/>
          <w:szCs w:val="24"/>
          <w:highlight w:val="none"/>
          <w:lang w:val="en-US"/>
        </w:rPr>
      </w:pPr>
      <w:r>
        <w:rPr>
          <w:rFonts w:ascii="Times New Roman" w:hAnsi="Times New Roman" w:eastAsia="仿宋"/>
          <w:color w:val="auto"/>
          <w:sz w:val="24"/>
          <w:szCs w:val="24"/>
          <w:highlight w:val="none"/>
        </w:rPr>
        <w:t>（</w:t>
      </w:r>
      <w:r>
        <w:rPr>
          <w:rFonts w:hint="eastAsia" w:ascii="Times New Roman" w:hAnsi="Times New Roman" w:eastAsia="仿宋"/>
          <w:color w:val="auto"/>
          <w:sz w:val="24"/>
          <w:szCs w:val="24"/>
          <w:highlight w:val="none"/>
          <w:lang w:val="en-US" w:eastAsia="zh-CN"/>
        </w:rPr>
        <w:t>8</w:t>
      </w:r>
      <w:r>
        <w:rPr>
          <w:rFonts w:ascii="Times New Roman" w:hAnsi="Times New Roman" w:eastAsia="仿宋"/>
          <w:color w:val="auto"/>
          <w:sz w:val="24"/>
          <w:szCs w:val="24"/>
          <w:highlight w:val="none"/>
        </w:rPr>
        <w:t>）</w:t>
      </w:r>
      <w:r>
        <w:rPr>
          <w:rFonts w:hint="eastAsia" w:ascii="Times New Roman" w:hAnsi="Times New Roman" w:eastAsia="仿宋"/>
          <w:color w:val="auto"/>
          <w:sz w:val="24"/>
          <w:szCs w:val="24"/>
          <w:highlight w:val="none"/>
          <w:lang w:val="en-US" w:eastAsia="zh-CN"/>
        </w:rPr>
        <w:t>其它资料。</w:t>
      </w:r>
    </w:p>
    <w:p w14:paraId="4F326270">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响应文件的上述组成部分如存在内容不一致的，以响应函为准。</w:t>
      </w:r>
    </w:p>
    <w:p w14:paraId="453549AB">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．我方承诺除商务和技术偏差表列出的偏差外，我方响应采购文件的全部要求。</w:t>
      </w:r>
    </w:p>
    <w:p w14:paraId="06A49557">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．我方承诺在采购文件规定的响应文件有效期内不撤销响应文件。</w:t>
      </w:r>
    </w:p>
    <w:p w14:paraId="089B7E98">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．如我方成交，我方承诺：</w:t>
      </w:r>
    </w:p>
    <w:p w14:paraId="02041286">
      <w:pPr>
        <w:spacing w:line="400" w:lineRule="exact"/>
        <w:ind w:firstLine="405"/>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）配送份额由采购人统一制定，</w:t>
      </w:r>
      <w:r>
        <w:rPr>
          <w:rFonts w:hint="eastAsia" w:ascii="仿宋" w:hAnsi="仿宋" w:eastAsia="仿宋" w:cs="仿宋"/>
          <w:color w:val="auto"/>
          <w:sz w:val="24"/>
          <w:szCs w:val="24"/>
          <w:highlight w:val="none"/>
          <w:lang w:val="en-US" w:eastAsia="zh-CN"/>
        </w:rPr>
        <w:t>不会因此无故不配合送货；</w:t>
      </w:r>
    </w:p>
    <w:p w14:paraId="6542853A">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）在收到成交通知书后，在成交通知书规定的期限内与你方签订合同；</w:t>
      </w:r>
    </w:p>
    <w:p w14:paraId="6A70B381">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）在签订合同时不向你方提出附加条件；</w:t>
      </w:r>
    </w:p>
    <w:p w14:paraId="04D7AB19">
      <w:pPr>
        <w:spacing w:line="400" w:lineRule="exact"/>
        <w:ind w:firstLine="40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）在合同约定的期限内完成合同规定的全部义务。</w:t>
      </w:r>
    </w:p>
    <w:p w14:paraId="15EF4344">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．我方在此声明，所递交的响应文件及有关资料内容完整、真实和准确，且不存在第一章“</w:t>
      </w:r>
      <w:r>
        <w:rPr>
          <w:rFonts w:hint="eastAsia" w:ascii="仿宋" w:hAnsi="仿宋" w:eastAsia="仿宋" w:cs="仿宋"/>
          <w:color w:val="auto"/>
          <w:sz w:val="24"/>
          <w:szCs w:val="24"/>
          <w:highlight w:val="none"/>
          <w:lang w:val="en-US" w:eastAsia="zh-CN"/>
        </w:rPr>
        <w:t>询比</w:t>
      </w:r>
      <w:r>
        <w:rPr>
          <w:rFonts w:hint="eastAsia" w:ascii="仿宋" w:hAnsi="仿宋" w:eastAsia="仿宋" w:cs="仿宋"/>
          <w:color w:val="auto"/>
          <w:sz w:val="24"/>
          <w:szCs w:val="24"/>
          <w:highlight w:val="none"/>
        </w:rPr>
        <w:t>采购公告”中规定的供应商不得存在的情形。</w:t>
      </w:r>
    </w:p>
    <w:p w14:paraId="089AE6F5">
      <w:pPr>
        <w:spacing w:line="440" w:lineRule="exact"/>
        <w:ind w:firstLine="1440" w:firstLineChars="600"/>
        <w:jc w:val="right"/>
        <w:rPr>
          <w:rFonts w:hint="eastAsia" w:ascii="仿宋" w:hAnsi="仿宋" w:eastAsia="仿宋" w:cs="仿宋"/>
          <w:color w:val="auto"/>
          <w:sz w:val="24"/>
          <w:szCs w:val="24"/>
          <w:highlight w:val="none"/>
        </w:rPr>
      </w:pPr>
      <w:bookmarkStart w:id="434" w:name="_Toc352691659"/>
      <w:bookmarkEnd w:id="434"/>
      <w:bookmarkStart w:id="435" w:name="_Toc16568"/>
      <w:bookmarkEnd w:id="435"/>
      <w:bookmarkStart w:id="436" w:name="_Toc369531696"/>
      <w:bookmarkEnd w:id="436"/>
      <w:bookmarkStart w:id="437" w:name="_Toc16824"/>
      <w:bookmarkEnd w:id="437"/>
      <w:bookmarkStart w:id="438" w:name="_Toc352691660"/>
      <w:bookmarkEnd w:id="438"/>
      <w:bookmarkStart w:id="439" w:name="_Toc369531695"/>
      <w:bookmarkEnd w:id="439"/>
    </w:p>
    <w:p w14:paraId="296020DB">
      <w:pPr>
        <w:spacing w:line="440" w:lineRule="exact"/>
        <w:ind w:firstLine="1440" w:firstLineChars="600"/>
        <w:jc w:val="right"/>
        <w:rPr>
          <w:rFonts w:hint="eastAsia" w:ascii="仿宋" w:hAnsi="仿宋" w:eastAsia="仿宋" w:cs="仿宋"/>
          <w:color w:val="auto"/>
          <w:sz w:val="24"/>
          <w:szCs w:val="24"/>
          <w:highlight w:val="none"/>
        </w:rPr>
      </w:pPr>
    </w:p>
    <w:p w14:paraId="7E10048C">
      <w:pPr>
        <w:spacing w:line="440" w:lineRule="exact"/>
        <w:ind w:firstLine="1440" w:firstLineChars="600"/>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 应 商：</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（盖单位章）</w:t>
      </w:r>
    </w:p>
    <w:p w14:paraId="2B88BEAD">
      <w:pPr>
        <w:spacing w:line="440" w:lineRule="exact"/>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4EC7AE2F">
      <w:pPr>
        <w:spacing w:line="440" w:lineRule="exact"/>
        <w:rPr>
          <w:rFonts w:hint="eastAsia" w:ascii="仿宋" w:hAnsi="仿宋" w:eastAsia="仿宋" w:cs="仿宋"/>
          <w:color w:val="auto"/>
          <w:sz w:val="20"/>
          <w:highlight w:val="none"/>
        </w:rPr>
      </w:pPr>
      <w:bookmarkStart w:id="440" w:name="_Toc247514246"/>
      <w:bookmarkStart w:id="441" w:name="_Toc144974856"/>
      <w:bookmarkStart w:id="442" w:name="_Toc247527827"/>
      <w:bookmarkStart w:id="443" w:name="_Toc361508752"/>
      <w:bookmarkStart w:id="444" w:name="_Toc369531697"/>
      <w:bookmarkStart w:id="445" w:name="_Toc384308375"/>
      <w:bookmarkStart w:id="446" w:name="_Toc300835209"/>
      <w:bookmarkStart w:id="447" w:name="_Toc152042576"/>
      <w:bookmarkStart w:id="448" w:name="_Toc352691661"/>
      <w:bookmarkStart w:id="449" w:name="_Toc17960"/>
      <w:bookmarkStart w:id="450" w:name="_Toc152045787"/>
    </w:p>
    <w:bookmarkEnd w:id="440"/>
    <w:bookmarkEnd w:id="441"/>
    <w:bookmarkEnd w:id="442"/>
    <w:bookmarkEnd w:id="443"/>
    <w:bookmarkEnd w:id="444"/>
    <w:bookmarkEnd w:id="445"/>
    <w:bookmarkEnd w:id="446"/>
    <w:bookmarkEnd w:id="447"/>
    <w:bookmarkEnd w:id="448"/>
    <w:bookmarkEnd w:id="449"/>
    <w:bookmarkEnd w:id="450"/>
    <w:p w14:paraId="1BAA1DC9">
      <w:pPr>
        <w:pStyle w:val="5"/>
        <w:jc w:val="center"/>
        <w:rPr>
          <w:rFonts w:hint="eastAsia" w:ascii="仿宋" w:hAnsi="仿宋" w:eastAsia="仿宋" w:cs="仿宋"/>
          <w:color w:val="auto"/>
          <w:highlight w:val="none"/>
        </w:rPr>
      </w:pPr>
      <w:bookmarkStart w:id="451" w:name="_Toc32176"/>
      <w:bookmarkStart w:id="452" w:name="_Toc14208"/>
      <w:bookmarkStart w:id="453" w:name="_Toc23871"/>
      <w:bookmarkStart w:id="454" w:name="_Toc501460788"/>
      <w:r>
        <w:rPr>
          <w:rFonts w:hint="eastAsia" w:ascii="仿宋" w:hAnsi="仿宋" w:eastAsia="仿宋" w:cs="仿宋"/>
          <w:color w:val="auto"/>
          <w:highlight w:val="none"/>
        </w:rPr>
        <w:t>二、法定代表人（单位负责人）身份证明</w:t>
      </w:r>
      <w:bookmarkEnd w:id="451"/>
      <w:bookmarkEnd w:id="452"/>
      <w:bookmarkEnd w:id="453"/>
    </w:p>
    <w:p w14:paraId="106D4208">
      <w:pPr>
        <w:spacing w:line="440" w:lineRule="exact"/>
        <w:rPr>
          <w:rFonts w:hint="eastAsia" w:ascii="仿宋" w:hAnsi="仿宋" w:eastAsia="仿宋" w:cs="仿宋"/>
          <w:color w:val="auto"/>
          <w:sz w:val="20"/>
          <w:highlight w:val="none"/>
        </w:rPr>
      </w:pPr>
    </w:p>
    <w:p w14:paraId="43BF8869">
      <w:pPr>
        <w:spacing w:line="440" w:lineRule="exact"/>
        <w:rPr>
          <w:rFonts w:hint="eastAsia" w:ascii="仿宋" w:hAnsi="仿宋" w:eastAsia="仿宋" w:cs="仿宋"/>
          <w:color w:val="auto"/>
          <w:highlight w:val="none"/>
        </w:rPr>
      </w:pPr>
    </w:p>
    <w:p w14:paraId="739E9619">
      <w:pPr>
        <w:spacing w:line="440" w:lineRule="exact"/>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single"/>
          <w:lang w:val="en-US" w:eastAsia="zh-CN"/>
        </w:rPr>
        <w:t xml:space="preserve">                            </w:t>
      </w:r>
    </w:p>
    <w:p w14:paraId="48494948">
      <w:pPr>
        <w:spacing w:line="440" w:lineRule="exact"/>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姓名：</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性别：</w:t>
      </w:r>
      <w:bookmarkStart w:id="455" w:name="_Toc27897"/>
      <w:bookmarkStart w:id="456" w:name="_Toc352691662"/>
      <w:bookmarkStart w:id="457" w:name="_Toc369531698"/>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年</w:t>
      </w:r>
      <w:bookmarkEnd w:id="455"/>
      <w:bookmarkEnd w:id="456"/>
      <w:bookmarkEnd w:id="457"/>
      <w:r>
        <w:rPr>
          <w:rFonts w:hint="eastAsia" w:ascii="仿宋" w:hAnsi="仿宋" w:eastAsia="仿宋" w:cs="仿宋"/>
          <w:color w:val="auto"/>
          <w:sz w:val="24"/>
          <w:szCs w:val="24"/>
          <w:highlight w:val="none"/>
        </w:rPr>
        <w:t>龄</w:t>
      </w:r>
      <w:bookmarkStart w:id="458" w:name="_Toc15573"/>
      <w:bookmarkStart w:id="459" w:name="_Toc384308377"/>
      <w:bookmarkStart w:id="460" w:name="_Toc300835211"/>
      <w:bookmarkStart w:id="461" w:name="_Toc144974858"/>
      <w:bookmarkStart w:id="462" w:name="_Toc361508754"/>
      <w:bookmarkStart w:id="463" w:name="_Toc152045789"/>
      <w:bookmarkStart w:id="464" w:name="_Toc369531699"/>
      <w:bookmarkStart w:id="465" w:name="_Toc352691663"/>
      <w:bookmarkStart w:id="466" w:name="_Toc247527829"/>
      <w:bookmarkStart w:id="467" w:name="_Toc152042578"/>
      <w:bookmarkStart w:id="468" w:name="_Toc247514248"/>
      <w:r>
        <w:rPr>
          <w:rFonts w:hint="eastAsia" w:ascii="仿宋" w:hAnsi="仿宋" w:eastAsia="仿宋" w:cs="仿宋"/>
          <w:color w:val="auto"/>
          <w:sz w:val="24"/>
          <w:szCs w:val="24"/>
          <w:highlight w:val="none"/>
        </w:rPr>
        <w:t>：</w:t>
      </w:r>
      <w:bookmarkEnd w:id="458"/>
      <w:bookmarkEnd w:id="459"/>
      <w:bookmarkEnd w:id="460"/>
      <w:bookmarkEnd w:id="461"/>
      <w:bookmarkEnd w:id="462"/>
      <w:bookmarkEnd w:id="463"/>
      <w:bookmarkEnd w:id="464"/>
      <w:bookmarkEnd w:id="465"/>
      <w:bookmarkEnd w:id="466"/>
      <w:bookmarkEnd w:id="467"/>
      <w:bookmarkEnd w:id="468"/>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职务：</w:t>
      </w:r>
      <w:r>
        <w:rPr>
          <w:rFonts w:hint="eastAsia" w:ascii="仿宋" w:hAnsi="仿宋" w:eastAsia="仿宋" w:cs="仿宋"/>
          <w:color w:val="auto"/>
          <w:sz w:val="24"/>
          <w:szCs w:val="24"/>
          <w:highlight w:val="none"/>
          <w:u w:val="single"/>
          <w:lang w:val="en-US" w:eastAsia="zh-CN"/>
        </w:rPr>
        <w:t xml:space="preserve">            </w:t>
      </w:r>
    </w:p>
    <w:p w14:paraId="22C8F420">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名称）的法定代表人（单位负责人）。</w:t>
      </w:r>
    </w:p>
    <w:p w14:paraId="0240C3F2">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特此证明。</w:t>
      </w:r>
    </w:p>
    <w:p w14:paraId="08FC9D80">
      <w:pPr>
        <w:spacing w:line="440" w:lineRule="exact"/>
        <w:rPr>
          <w:rFonts w:hint="eastAsia" w:ascii="仿宋" w:hAnsi="仿宋" w:eastAsia="仿宋" w:cs="仿宋"/>
          <w:color w:val="auto"/>
          <w:sz w:val="24"/>
          <w:szCs w:val="24"/>
          <w:highlight w:val="none"/>
        </w:rPr>
      </w:pPr>
    </w:p>
    <w:p w14:paraId="1C12DE0F">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附：法定代表人（单位负责人）身份证。</w:t>
      </w:r>
    </w:p>
    <w:p w14:paraId="6C8F7E8C">
      <w:pPr>
        <w:spacing w:line="440" w:lineRule="exact"/>
        <w:rPr>
          <w:rFonts w:hint="eastAsia" w:ascii="仿宋" w:hAnsi="仿宋" w:eastAsia="仿宋" w:cs="仿宋"/>
          <w:color w:val="auto"/>
          <w:sz w:val="24"/>
          <w:szCs w:val="24"/>
          <w:highlight w:val="none"/>
        </w:rPr>
      </w:pPr>
    </w:p>
    <w:p w14:paraId="100E85F4">
      <w:pPr>
        <w:spacing w:line="440" w:lineRule="exact"/>
        <w:rPr>
          <w:rFonts w:hint="eastAsia" w:ascii="仿宋" w:hAnsi="仿宋" w:eastAsia="仿宋" w:cs="仿宋"/>
          <w:color w:val="auto"/>
          <w:sz w:val="24"/>
          <w:szCs w:val="24"/>
          <w:highlight w:val="none"/>
        </w:rPr>
      </w:pPr>
    </w:p>
    <w:p w14:paraId="173EEEAB">
      <w:pPr>
        <w:spacing w:line="440" w:lineRule="exact"/>
        <w:rPr>
          <w:rFonts w:hint="eastAsia" w:ascii="仿宋" w:hAnsi="仿宋" w:eastAsia="仿宋" w:cs="仿宋"/>
          <w:color w:val="auto"/>
          <w:sz w:val="24"/>
          <w:szCs w:val="24"/>
          <w:highlight w:val="none"/>
        </w:rPr>
      </w:pPr>
    </w:p>
    <w:p w14:paraId="44FFC165">
      <w:pPr>
        <w:spacing w:line="440" w:lineRule="exact"/>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（盖单位章）</w:t>
      </w:r>
    </w:p>
    <w:p w14:paraId="434EA735">
      <w:pPr>
        <w:spacing w:line="440" w:lineRule="exact"/>
        <w:rPr>
          <w:rFonts w:hint="eastAsia" w:ascii="仿宋" w:hAnsi="仿宋" w:eastAsia="仿宋" w:cs="仿宋"/>
          <w:color w:val="auto"/>
          <w:sz w:val="24"/>
          <w:szCs w:val="24"/>
          <w:highlight w:val="none"/>
        </w:rPr>
      </w:pPr>
    </w:p>
    <w:p w14:paraId="274FCB0B">
      <w:pPr>
        <w:spacing w:line="24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日</w:t>
      </w:r>
    </w:p>
    <w:p w14:paraId="3E9A8DEF">
      <w:pPr>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372121F1">
      <w:pPr>
        <w:pStyle w:val="5"/>
        <w:spacing w:line="240" w:lineRule="auto"/>
        <w:jc w:val="center"/>
        <w:rPr>
          <w:rFonts w:hint="eastAsia" w:ascii="仿宋" w:hAnsi="仿宋" w:eastAsia="仿宋" w:cs="仿宋"/>
          <w:color w:val="auto"/>
          <w:highlight w:val="none"/>
        </w:rPr>
      </w:pPr>
      <w:bookmarkStart w:id="469" w:name="_Toc11497"/>
      <w:bookmarkStart w:id="470" w:name="_Toc29513"/>
      <w:r>
        <w:rPr>
          <w:rFonts w:hint="eastAsia" w:ascii="仿宋" w:hAnsi="仿宋" w:eastAsia="仿宋" w:cs="仿宋"/>
          <w:color w:val="auto"/>
          <w:highlight w:val="none"/>
        </w:rPr>
        <w:t>授权委托书</w:t>
      </w:r>
      <w:bookmarkEnd w:id="454"/>
      <w:bookmarkEnd w:id="469"/>
      <w:bookmarkEnd w:id="470"/>
    </w:p>
    <w:p w14:paraId="66C3B08C">
      <w:pPr>
        <w:spacing w:line="440" w:lineRule="exact"/>
        <w:rPr>
          <w:rFonts w:hint="eastAsia" w:ascii="仿宋" w:hAnsi="仿宋" w:eastAsia="仿宋" w:cs="仿宋"/>
          <w:color w:val="auto"/>
          <w:highlight w:val="none"/>
        </w:rPr>
      </w:pPr>
    </w:p>
    <w:p w14:paraId="456596F0">
      <w:pPr>
        <w:topLinePunct/>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本人</w:t>
      </w:r>
      <w:r>
        <w:rPr>
          <w:rFonts w:hint="eastAsia" w:ascii="仿宋" w:hAnsi="仿宋" w:eastAsia="仿宋" w:cs="仿宋"/>
          <w:color w:val="auto"/>
          <w:sz w:val="24"/>
          <w:szCs w:val="24"/>
          <w:highlight w:val="none"/>
          <w:u w:val="single"/>
        </w:rPr>
        <w:t xml:space="preserve">              （姓名）</w:t>
      </w:r>
      <w:r>
        <w:rPr>
          <w:rFonts w:hint="eastAsia" w:ascii="仿宋" w:hAnsi="仿宋" w:eastAsia="仿宋" w:cs="仿宋"/>
          <w:color w:val="auto"/>
          <w:sz w:val="24"/>
          <w:szCs w:val="24"/>
          <w:highlight w:val="none"/>
        </w:rPr>
        <w:t>系</w:t>
      </w:r>
      <w:r>
        <w:rPr>
          <w:rFonts w:hint="eastAsia" w:ascii="仿宋" w:hAnsi="仿宋" w:eastAsia="仿宋" w:cs="仿宋"/>
          <w:color w:val="auto"/>
          <w:sz w:val="24"/>
          <w:szCs w:val="24"/>
          <w:highlight w:val="none"/>
          <w:u w:val="single"/>
        </w:rPr>
        <w:t xml:space="preserve">                    （供应商名称）</w:t>
      </w:r>
      <w:r>
        <w:rPr>
          <w:rFonts w:hint="eastAsia" w:ascii="仿宋" w:hAnsi="仿宋" w:eastAsia="仿宋" w:cs="仿宋"/>
          <w:color w:val="auto"/>
          <w:sz w:val="24"/>
          <w:szCs w:val="24"/>
          <w:highlight w:val="none"/>
        </w:rPr>
        <w:t>的法定代表人（单位负责人），现委托</w:t>
      </w:r>
      <w:r>
        <w:rPr>
          <w:rFonts w:hint="eastAsia" w:ascii="仿宋" w:hAnsi="仿宋" w:eastAsia="仿宋" w:cs="仿宋"/>
          <w:color w:val="auto"/>
          <w:sz w:val="24"/>
          <w:szCs w:val="24"/>
          <w:highlight w:val="none"/>
          <w:u w:val="single"/>
        </w:rPr>
        <w:t xml:space="preserve">            （姓名）</w:t>
      </w:r>
      <w:r>
        <w:rPr>
          <w:rFonts w:hint="eastAsia" w:ascii="仿宋" w:hAnsi="仿宋" w:eastAsia="仿宋" w:cs="仿宋"/>
          <w:color w:val="auto"/>
          <w:sz w:val="24"/>
          <w:szCs w:val="24"/>
          <w:highlight w:val="none"/>
        </w:rPr>
        <w:t>为我方代理人。代理人根据授权，以我方名义签署、澄清确认、递交、撤回、修改</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lang w:eastAsia="zh-CN"/>
        </w:rPr>
        <w:t>询比</w:t>
      </w:r>
      <w:r>
        <w:rPr>
          <w:rFonts w:hint="eastAsia" w:ascii="仿宋" w:hAnsi="仿宋" w:eastAsia="仿宋" w:cs="仿宋"/>
          <w:color w:val="auto"/>
          <w:sz w:val="24"/>
          <w:szCs w:val="24"/>
          <w:highlight w:val="none"/>
        </w:rPr>
        <w:t>采购项目响应文件、签订合同和处理有关事宜，其法律后果由我方承担。</w:t>
      </w:r>
    </w:p>
    <w:p w14:paraId="17E85BCF">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委托期限：自本委托书签署之日起至</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lang w:eastAsia="zh-CN"/>
        </w:rPr>
        <w:t>询比</w:t>
      </w:r>
      <w:r>
        <w:rPr>
          <w:rFonts w:hint="eastAsia" w:ascii="仿宋" w:hAnsi="仿宋" w:eastAsia="仿宋" w:cs="仿宋"/>
          <w:color w:val="auto"/>
          <w:sz w:val="24"/>
          <w:szCs w:val="24"/>
          <w:highlight w:val="none"/>
        </w:rPr>
        <w:t>采购项目签订成交合同之日止。</w:t>
      </w:r>
    </w:p>
    <w:p w14:paraId="67D48E61">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代理人无转委托权。</w:t>
      </w:r>
    </w:p>
    <w:p w14:paraId="3029B873">
      <w:pPr>
        <w:spacing w:line="440" w:lineRule="exact"/>
        <w:ind w:firstLine="480" w:firstLineChars="200"/>
        <w:rPr>
          <w:rFonts w:hint="eastAsia" w:ascii="仿宋" w:hAnsi="仿宋" w:eastAsia="仿宋" w:cs="仿宋"/>
          <w:color w:val="auto"/>
          <w:sz w:val="24"/>
          <w:szCs w:val="24"/>
          <w:highlight w:val="none"/>
        </w:rPr>
      </w:pPr>
    </w:p>
    <w:p w14:paraId="3073ABD1">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附：法定代表人（单位负责人）身份证及委托代理人身份证。</w:t>
      </w:r>
    </w:p>
    <w:p w14:paraId="166CCE5F">
      <w:pPr>
        <w:spacing w:line="440" w:lineRule="exact"/>
        <w:rPr>
          <w:rFonts w:hint="eastAsia" w:ascii="仿宋" w:hAnsi="仿宋" w:eastAsia="仿宋" w:cs="仿宋"/>
          <w:color w:val="auto"/>
          <w:sz w:val="24"/>
          <w:szCs w:val="24"/>
          <w:highlight w:val="none"/>
        </w:rPr>
      </w:pPr>
    </w:p>
    <w:p w14:paraId="71D5F818">
      <w:pPr>
        <w:spacing w:line="440" w:lineRule="exact"/>
        <w:rPr>
          <w:rFonts w:hint="eastAsia" w:ascii="仿宋" w:hAnsi="仿宋" w:eastAsia="仿宋" w:cs="仿宋"/>
          <w:color w:val="auto"/>
          <w:sz w:val="24"/>
          <w:szCs w:val="24"/>
          <w:highlight w:val="none"/>
        </w:rPr>
      </w:pPr>
    </w:p>
    <w:p w14:paraId="2BCA4EE2">
      <w:pPr>
        <w:spacing w:line="440" w:lineRule="exact"/>
        <w:ind w:firstLine="1680" w:firstLineChars="7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（盖单位章）</w:t>
      </w:r>
    </w:p>
    <w:p w14:paraId="1B1DA5FC">
      <w:pPr>
        <w:spacing w:line="440" w:lineRule="exact"/>
        <w:ind w:firstLine="3076" w:firstLineChars="1282"/>
        <w:rPr>
          <w:rFonts w:hint="eastAsia" w:ascii="仿宋" w:hAnsi="仿宋" w:eastAsia="仿宋" w:cs="仿宋"/>
          <w:color w:val="auto"/>
          <w:sz w:val="24"/>
          <w:szCs w:val="24"/>
          <w:highlight w:val="none"/>
        </w:rPr>
      </w:pPr>
    </w:p>
    <w:p w14:paraId="5F5EAA61">
      <w:pPr>
        <w:spacing w:line="440" w:lineRule="exact"/>
        <w:ind w:firstLine="1680" w:firstLineChars="7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（签字</w:t>
      </w:r>
      <w:r>
        <w:rPr>
          <w:rFonts w:hint="eastAsia" w:ascii="仿宋" w:hAnsi="仿宋" w:eastAsia="仿宋" w:cs="仿宋"/>
          <w:color w:val="auto"/>
          <w:sz w:val="24"/>
          <w:szCs w:val="24"/>
          <w:highlight w:val="none"/>
          <w:u w:val="single"/>
          <w:lang w:val="en-US" w:eastAsia="zh-CN"/>
        </w:rPr>
        <w:t>或盖章</w:t>
      </w:r>
      <w:r>
        <w:rPr>
          <w:rFonts w:hint="eastAsia" w:ascii="仿宋" w:hAnsi="仿宋" w:eastAsia="仿宋" w:cs="仿宋"/>
          <w:color w:val="auto"/>
          <w:sz w:val="24"/>
          <w:szCs w:val="24"/>
          <w:highlight w:val="none"/>
          <w:u w:val="single"/>
        </w:rPr>
        <w:t>）</w:t>
      </w:r>
    </w:p>
    <w:p w14:paraId="17F52BFA">
      <w:pPr>
        <w:spacing w:line="440" w:lineRule="exact"/>
        <w:ind w:firstLine="3076" w:firstLineChars="1282"/>
        <w:rPr>
          <w:rFonts w:hint="eastAsia" w:ascii="仿宋" w:hAnsi="仿宋" w:eastAsia="仿宋" w:cs="仿宋"/>
          <w:color w:val="auto"/>
          <w:sz w:val="24"/>
          <w:szCs w:val="24"/>
          <w:highlight w:val="none"/>
        </w:rPr>
      </w:pPr>
    </w:p>
    <w:p w14:paraId="3403824A">
      <w:pPr>
        <w:spacing w:line="440" w:lineRule="exact"/>
        <w:ind w:firstLine="1680" w:firstLineChars="7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（签字</w:t>
      </w:r>
      <w:r>
        <w:rPr>
          <w:rFonts w:hint="eastAsia" w:ascii="仿宋" w:hAnsi="仿宋" w:eastAsia="仿宋" w:cs="仿宋"/>
          <w:color w:val="auto"/>
          <w:sz w:val="24"/>
          <w:szCs w:val="24"/>
          <w:highlight w:val="none"/>
          <w:u w:val="single"/>
          <w:lang w:val="en-US" w:eastAsia="zh-CN"/>
        </w:rPr>
        <w:t>或盖章</w:t>
      </w:r>
      <w:r>
        <w:rPr>
          <w:rFonts w:hint="eastAsia" w:ascii="仿宋" w:hAnsi="仿宋" w:eastAsia="仿宋" w:cs="仿宋"/>
          <w:color w:val="auto"/>
          <w:sz w:val="24"/>
          <w:szCs w:val="24"/>
          <w:highlight w:val="none"/>
          <w:u w:val="single"/>
        </w:rPr>
        <w:t>）</w:t>
      </w:r>
    </w:p>
    <w:p w14:paraId="0FBB5AE5">
      <w:pPr>
        <w:spacing w:line="440" w:lineRule="exact"/>
        <w:ind w:firstLine="3076" w:firstLineChars="1282"/>
        <w:rPr>
          <w:rFonts w:hint="eastAsia" w:ascii="仿宋" w:hAnsi="仿宋" w:eastAsia="仿宋" w:cs="仿宋"/>
          <w:color w:val="auto"/>
          <w:sz w:val="24"/>
          <w:szCs w:val="24"/>
          <w:highlight w:val="none"/>
        </w:rPr>
      </w:pPr>
    </w:p>
    <w:p w14:paraId="2CBE4D19">
      <w:pPr>
        <w:spacing w:line="440" w:lineRule="exact"/>
        <w:ind w:firstLine="3076" w:firstLineChars="1282"/>
        <w:rPr>
          <w:rFonts w:hint="eastAsia" w:ascii="仿宋" w:hAnsi="仿宋" w:eastAsia="仿宋" w:cs="仿宋"/>
          <w:color w:val="auto"/>
          <w:sz w:val="24"/>
          <w:szCs w:val="24"/>
          <w:highlight w:val="none"/>
        </w:rPr>
      </w:pPr>
    </w:p>
    <w:p w14:paraId="239D1528">
      <w:pPr>
        <w:spacing w:line="440" w:lineRule="exact"/>
        <w:ind w:firstLine="3076" w:firstLineChars="1282"/>
        <w:rPr>
          <w:rFonts w:hint="eastAsia" w:ascii="仿宋" w:hAnsi="仿宋" w:eastAsia="仿宋" w:cs="仿宋"/>
          <w:color w:val="auto"/>
          <w:sz w:val="24"/>
          <w:szCs w:val="24"/>
          <w:highlight w:val="none"/>
        </w:rPr>
      </w:pPr>
    </w:p>
    <w:p w14:paraId="5977568F">
      <w:pPr>
        <w:spacing w:line="440" w:lineRule="exact"/>
        <w:ind w:firstLine="3076" w:firstLineChars="1282"/>
        <w:rPr>
          <w:rFonts w:hint="eastAsia" w:ascii="仿宋" w:hAnsi="仿宋" w:eastAsia="仿宋" w:cs="仿宋"/>
          <w:color w:val="auto"/>
          <w:sz w:val="24"/>
          <w:szCs w:val="24"/>
          <w:highlight w:val="none"/>
        </w:rPr>
      </w:pPr>
    </w:p>
    <w:p w14:paraId="3064E80A">
      <w:pPr>
        <w:spacing w:line="440" w:lineRule="exact"/>
        <w:ind w:firstLine="4636" w:firstLineChars="1932"/>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75E23B32">
      <w:pPr>
        <w:pStyle w:val="2"/>
        <w:rPr>
          <w:rFonts w:hint="eastAsia" w:ascii="仿宋" w:hAnsi="仿宋" w:eastAsia="仿宋" w:cs="仿宋"/>
          <w:color w:val="auto"/>
          <w:sz w:val="24"/>
          <w:szCs w:val="24"/>
          <w:highlight w:val="none"/>
          <w:lang w:val="en-US" w:eastAsia="zh-CN"/>
        </w:rPr>
      </w:pPr>
    </w:p>
    <w:p w14:paraId="5AA9F197">
      <w:pPr>
        <w:pStyle w:val="2"/>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备注：法定代表人参加的无需授权委托书。</w:t>
      </w:r>
    </w:p>
    <w:p w14:paraId="0F5655E9">
      <w:pPr>
        <w:spacing w:line="440" w:lineRule="exact"/>
        <w:ind w:firstLine="4057" w:firstLineChars="1932"/>
        <w:jc w:val="right"/>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0A19AEB8">
      <w:pPr>
        <w:pStyle w:val="5"/>
        <w:jc w:val="center"/>
        <w:rPr>
          <w:rFonts w:hint="eastAsia" w:ascii="仿宋" w:hAnsi="仿宋" w:eastAsia="仿宋" w:cs="仿宋"/>
          <w:bCs/>
          <w:color w:val="auto"/>
          <w:kern w:val="0"/>
          <w:sz w:val="24"/>
          <w:szCs w:val="20"/>
          <w:highlight w:val="none"/>
        </w:rPr>
      </w:pPr>
      <w:bookmarkStart w:id="471" w:name="_Toc501460789"/>
      <w:bookmarkStart w:id="472" w:name="_Toc21171"/>
      <w:r>
        <w:rPr>
          <w:rFonts w:hint="eastAsia" w:ascii="仿宋" w:hAnsi="仿宋" w:eastAsia="仿宋" w:cs="仿宋"/>
          <w:color w:val="auto"/>
          <w:highlight w:val="none"/>
        </w:rPr>
        <w:t>三、</w:t>
      </w:r>
      <w:bookmarkEnd w:id="471"/>
      <w:bookmarkEnd w:id="472"/>
      <w:bookmarkStart w:id="473" w:name="_Toc4843"/>
      <w:bookmarkStart w:id="474" w:name="_Toc501460791"/>
      <w:r>
        <w:rPr>
          <w:rFonts w:hint="eastAsia" w:ascii="仿宋" w:hAnsi="仿宋" w:eastAsia="仿宋" w:cs="仿宋"/>
          <w:color w:val="auto"/>
          <w:highlight w:val="none"/>
        </w:rPr>
        <w:t>商务和技术偏差表</w:t>
      </w:r>
      <w:bookmarkEnd w:id="473"/>
      <w:bookmarkEnd w:id="474"/>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551"/>
        <w:gridCol w:w="3122"/>
        <w:gridCol w:w="2169"/>
      </w:tblGrid>
      <w:tr w14:paraId="0FF5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noWrap w:val="0"/>
            <w:vAlign w:val="center"/>
          </w:tcPr>
          <w:p w14:paraId="457A7BAB">
            <w:pPr>
              <w:widowControl/>
              <w:snapToGrid w:val="0"/>
              <w:spacing w:line="360" w:lineRule="auto"/>
              <w:jc w:val="center"/>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序号</w:t>
            </w:r>
          </w:p>
        </w:tc>
        <w:tc>
          <w:tcPr>
            <w:tcW w:w="2551" w:type="dxa"/>
            <w:noWrap w:val="0"/>
            <w:vAlign w:val="center"/>
          </w:tcPr>
          <w:p w14:paraId="581CC985">
            <w:pPr>
              <w:widowControl/>
              <w:snapToGrid w:val="0"/>
              <w:spacing w:line="360" w:lineRule="auto"/>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kern w:val="0"/>
                <w:sz w:val="24"/>
                <w:szCs w:val="24"/>
                <w:highlight w:val="none"/>
              </w:rPr>
              <w:t>采购文件</w:t>
            </w:r>
            <w:r>
              <w:rPr>
                <w:rFonts w:hint="eastAsia" w:ascii="仿宋" w:hAnsi="仿宋" w:eastAsia="仿宋" w:cs="仿宋"/>
                <w:b w:val="0"/>
                <w:bCs/>
                <w:color w:val="auto"/>
                <w:sz w:val="24"/>
                <w:szCs w:val="24"/>
                <w:highlight w:val="none"/>
              </w:rPr>
              <w:t>要求</w:t>
            </w:r>
          </w:p>
        </w:tc>
        <w:tc>
          <w:tcPr>
            <w:tcW w:w="3122" w:type="dxa"/>
            <w:noWrap w:val="0"/>
            <w:vAlign w:val="center"/>
          </w:tcPr>
          <w:p w14:paraId="227AA5A8">
            <w:pPr>
              <w:widowControl/>
              <w:snapToGrid w:val="0"/>
              <w:spacing w:line="360" w:lineRule="auto"/>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kern w:val="0"/>
                <w:sz w:val="24"/>
                <w:szCs w:val="24"/>
                <w:highlight w:val="none"/>
              </w:rPr>
              <w:t>响应文件</w:t>
            </w:r>
            <w:r>
              <w:rPr>
                <w:rFonts w:hint="eastAsia" w:ascii="仿宋" w:hAnsi="仿宋" w:eastAsia="仿宋" w:cs="仿宋"/>
                <w:b w:val="0"/>
                <w:bCs/>
                <w:color w:val="auto"/>
                <w:sz w:val="24"/>
                <w:szCs w:val="24"/>
                <w:highlight w:val="none"/>
              </w:rPr>
              <w:t>响应</w:t>
            </w:r>
          </w:p>
        </w:tc>
        <w:tc>
          <w:tcPr>
            <w:tcW w:w="2169" w:type="dxa"/>
            <w:noWrap w:val="0"/>
            <w:vAlign w:val="center"/>
          </w:tcPr>
          <w:p w14:paraId="458D036F">
            <w:pPr>
              <w:widowControl/>
              <w:snapToGrid w:val="0"/>
              <w:spacing w:line="360" w:lineRule="auto"/>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偏差说明</w:t>
            </w:r>
          </w:p>
        </w:tc>
      </w:tr>
      <w:tr w14:paraId="3212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noWrap w:val="0"/>
            <w:vAlign w:val="center"/>
          </w:tcPr>
          <w:p w14:paraId="741061F1">
            <w:pPr>
              <w:widowControl/>
              <w:snapToGrid w:val="0"/>
              <w:spacing w:line="360" w:lineRule="auto"/>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w:t>
            </w:r>
          </w:p>
        </w:tc>
        <w:tc>
          <w:tcPr>
            <w:tcW w:w="2551" w:type="dxa"/>
            <w:noWrap w:val="0"/>
            <w:vAlign w:val="center"/>
          </w:tcPr>
          <w:p w14:paraId="5D2BDB4D">
            <w:pPr>
              <w:widowControl/>
              <w:snapToGrid w:val="0"/>
              <w:spacing w:line="360" w:lineRule="auto"/>
              <w:jc w:val="center"/>
              <w:rPr>
                <w:rFonts w:hint="eastAsia" w:ascii="仿宋" w:hAnsi="仿宋" w:eastAsia="仿宋" w:cs="仿宋"/>
                <w:b w:val="0"/>
                <w:bCs/>
                <w:color w:val="auto"/>
                <w:sz w:val="24"/>
                <w:szCs w:val="24"/>
                <w:highlight w:val="none"/>
              </w:rPr>
            </w:pPr>
          </w:p>
        </w:tc>
        <w:tc>
          <w:tcPr>
            <w:tcW w:w="3122" w:type="dxa"/>
            <w:noWrap w:val="0"/>
            <w:vAlign w:val="center"/>
          </w:tcPr>
          <w:p w14:paraId="1D379BFE">
            <w:pPr>
              <w:widowControl/>
              <w:snapToGrid w:val="0"/>
              <w:spacing w:line="360" w:lineRule="auto"/>
              <w:jc w:val="center"/>
              <w:rPr>
                <w:rFonts w:hint="eastAsia" w:ascii="仿宋" w:hAnsi="仿宋" w:eastAsia="仿宋" w:cs="仿宋"/>
                <w:b w:val="0"/>
                <w:bCs/>
                <w:color w:val="auto"/>
                <w:sz w:val="24"/>
                <w:szCs w:val="24"/>
                <w:highlight w:val="none"/>
              </w:rPr>
            </w:pPr>
          </w:p>
        </w:tc>
        <w:tc>
          <w:tcPr>
            <w:tcW w:w="2169" w:type="dxa"/>
            <w:noWrap w:val="0"/>
            <w:vAlign w:val="center"/>
          </w:tcPr>
          <w:p w14:paraId="150FDF63">
            <w:pPr>
              <w:widowControl/>
              <w:snapToGrid w:val="0"/>
              <w:spacing w:line="360" w:lineRule="auto"/>
              <w:jc w:val="center"/>
              <w:rPr>
                <w:rFonts w:hint="eastAsia" w:ascii="仿宋" w:hAnsi="仿宋" w:eastAsia="仿宋" w:cs="仿宋"/>
                <w:b w:val="0"/>
                <w:bCs/>
                <w:color w:val="auto"/>
                <w:sz w:val="24"/>
                <w:szCs w:val="24"/>
                <w:highlight w:val="none"/>
              </w:rPr>
            </w:pPr>
          </w:p>
        </w:tc>
      </w:tr>
      <w:tr w14:paraId="7100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noWrap w:val="0"/>
            <w:vAlign w:val="center"/>
          </w:tcPr>
          <w:p w14:paraId="4FBB7555">
            <w:pPr>
              <w:widowControl/>
              <w:snapToGrid w:val="0"/>
              <w:spacing w:line="360" w:lineRule="auto"/>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w:t>
            </w:r>
          </w:p>
        </w:tc>
        <w:tc>
          <w:tcPr>
            <w:tcW w:w="2551" w:type="dxa"/>
            <w:noWrap w:val="0"/>
            <w:vAlign w:val="center"/>
          </w:tcPr>
          <w:p w14:paraId="7B0BF4DC">
            <w:pPr>
              <w:widowControl/>
              <w:snapToGrid w:val="0"/>
              <w:spacing w:line="360" w:lineRule="auto"/>
              <w:jc w:val="center"/>
              <w:rPr>
                <w:rFonts w:hint="eastAsia" w:ascii="仿宋" w:hAnsi="仿宋" w:eastAsia="仿宋" w:cs="仿宋"/>
                <w:b w:val="0"/>
                <w:bCs/>
                <w:color w:val="auto"/>
                <w:sz w:val="24"/>
                <w:szCs w:val="24"/>
                <w:highlight w:val="none"/>
              </w:rPr>
            </w:pPr>
          </w:p>
        </w:tc>
        <w:tc>
          <w:tcPr>
            <w:tcW w:w="3122" w:type="dxa"/>
            <w:noWrap w:val="0"/>
            <w:vAlign w:val="center"/>
          </w:tcPr>
          <w:p w14:paraId="2A30ABC3">
            <w:pPr>
              <w:widowControl/>
              <w:snapToGrid w:val="0"/>
              <w:spacing w:line="360" w:lineRule="auto"/>
              <w:jc w:val="center"/>
              <w:rPr>
                <w:rFonts w:hint="eastAsia" w:ascii="仿宋" w:hAnsi="仿宋" w:eastAsia="仿宋" w:cs="仿宋"/>
                <w:b w:val="0"/>
                <w:bCs/>
                <w:color w:val="auto"/>
                <w:sz w:val="24"/>
                <w:szCs w:val="24"/>
                <w:highlight w:val="none"/>
              </w:rPr>
            </w:pPr>
          </w:p>
        </w:tc>
        <w:tc>
          <w:tcPr>
            <w:tcW w:w="2169" w:type="dxa"/>
            <w:noWrap w:val="0"/>
            <w:vAlign w:val="center"/>
          </w:tcPr>
          <w:p w14:paraId="4D3F61FE">
            <w:pPr>
              <w:widowControl/>
              <w:snapToGrid w:val="0"/>
              <w:spacing w:line="360" w:lineRule="auto"/>
              <w:jc w:val="center"/>
              <w:rPr>
                <w:rFonts w:hint="eastAsia" w:ascii="仿宋" w:hAnsi="仿宋" w:eastAsia="仿宋" w:cs="仿宋"/>
                <w:b w:val="0"/>
                <w:bCs/>
                <w:color w:val="auto"/>
                <w:sz w:val="24"/>
                <w:szCs w:val="24"/>
                <w:highlight w:val="none"/>
              </w:rPr>
            </w:pPr>
          </w:p>
        </w:tc>
      </w:tr>
      <w:tr w14:paraId="21D8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noWrap w:val="0"/>
            <w:vAlign w:val="center"/>
          </w:tcPr>
          <w:p w14:paraId="66D0E971">
            <w:pPr>
              <w:widowControl/>
              <w:snapToGrid w:val="0"/>
              <w:spacing w:line="360" w:lineRule="auto"/>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w:t>
            </w:r>
          </w:p>
        </w:tc>
        <w:tc>
          <w:tcPr>
            <w:tcW w:w="2551" w:type="dxa"/>
            <w:noWrap w:val="0"/>
            <w:vAlign w:val="center"/>
          </w:tcPr>
          <w:p w14:paraId="6F78B8F3">
            <w:pPr>
              <w:widowControl/>
              <w:snapToGrid w:val="0"/>
              <w:spacing w:line="360" w:lineRule="auto"/>
              <w:jc w:val="center"/>
              <w:rPr>
                <w:rFonts w:hint="eastAsia" w:ascii="仿宋" w:hAnsi="仿宋" w:eastAsia="仿宋" w:cs="仿宋"/>
                <w:b w:val="0"/>
                <w:bCs/>
                <w:color w:val="auto"/>
                <w:sz w:val="24"/>
                <w:szCs w:val="24"/>
                <w:highlight w:val="none"/>
              </w:rPr>
            </w:pPr>
          </w:p>
        </w:tc>
        <w:tc>
          <w:tcPr>
            <w:tcW w:w="3122" w:type="dxa"/>
            <w:noWrap w:val="0"/>
            <w:vAlign w:val="center"/>
          </w:tcPr>
          <w:p w14:paraId="0423D0CC">
            <w:pPr>
              <w:widowControl/>
              <w:snapToGrid w:val="0"/>
              <w:spacing w:line="360" w:lineRule="auto"/>
              <w:jc w:val="center"/>
              <w:rPr>
                <w:rFonts w:hint="eastAsia" w:ascii="仿宋" w:hAnsi="仿宋" w:eastAsia="仿宋" w:cs="仿宋"/>
                <w:b w:val="0"/>
                <w:bCs/>
                <w:color w:val="auto"/>
                <w:sz w:val="24"/>
                <w:szCs w:val="24"/>
                <w:highlight w:val="none"/>
              </w:rPr>
            </w:pPr>
          </w:p>
        </w:tc>
        <w:tc>
          <w:tcPr>
            <w:tcW w:w="2169" w:type="dxa"/>
            <w:noWrap w:val="0"/>
            <w:vAlign w:val="center"/>
          </w:tcPr>
          <w:p w14:paraId="7BB855C3">
            <w:pPr>
              <w:widowControl/>
              <w:snapToGrid w:val="0"/>
              <w:spacing w:line="360" w:lineRule="auto"/>
              <w:jc w:val="center"/>
              <w:rPr>
                <w:rFonts w:hint="eastAsia" w:ascii="仿宋" w:hAnsi="仿宋" w:eastAsia="仿宋" w:cs="仿宋"/>
                <w:b w:val="0"/>
                <w:bCs/>
                <w:color w:val="auto"/>
                <w:sz w:val="24"/>
                <w:szCs w:val="24"/>
                <w:highlight w:val="none"/>
              </w:rPr>
            </w:pPr>
          </w:p>
        </w:tc>
      </w:tr>
      <w:tr w14:paraId="47AE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noWrap w:val="0"/>
            <w:vAlign w:val="center"/>
          </w:tcPr>
          <w:p w14:paraId="4AD7E251">
            <w:pPr>
              <w:widowControl/>
              <w:snapToGrid w:val="0"/>
              <w:spacing w:line="360" w:lineRule="auto"/>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w:t>
            </w:r>
          </w:p>
        </w:tc>
        <w:tc>
          <w:tcPr>
            <w:tcW w:w="2551" w:type="dxa"/>
            <w:noWrap w:val="0"/>
            <w:vAlign w:val="center"/>
          </w:tcPr>
          <w:p w14:paraId="0360CF7C">
            <w:pPr>
              <w:widowControl/>
              <w:snapToGrid w:val="0"/>
              <w:spacing w:line="360" w:lineRule="auto"/>
              <w:jc w:val="center"/>
              <w:rPr>
                <w:rFonts w:hint="eastAsia" w:ascii="仿宋" w:hAnsi="仿宋" w:eastAsia="仿宋" w:cs="仿宋"/>
                <w:b w:val="0"/>
                <w:bCs/>
                <w:color w:val="auto"/>
                <w:sz w:val="24"/>
                <w:szCs w:val="24"/>
                <w:highlight w:val="none"/>
              </w:rPr>
            </w:pPr>
          </w:p>
        </w:tc>
        <w:tc>
          <w:tcPr>
            <w:tcW w:w="3122" w:type="dxa"/>
            <w:noWrap w:val="0"/>
            <w:vAlign w:val="center"/>
          </w:tcPr>
          <w:p w14:paraId="746ADFE1">
            <w:pPr>
              <w:widowControl/>
              <w:snapToGrid w:val="0"/>
              <w:spacing w:line="360" w:lineRule="auto"/>
              <w:jc w:val="center"/>
              <w:rPr>
                <w:rFonts w:hint="eastAsia" w:ascii="仿宋" w:hAnsi="仿宋" w:eastAsia="仿宋" w:cs="仿宋"/>
                <w:b w:val="0"/>
                <w:bCs/>
                <w:color w:val="auto"/>
                <w:sz w:val="24"/>
                <w:szCs w:val="24"/>
                <w:highlight w:val="none"/>
              </w:rPr>
            </w:pPr>
          </w:p>
        </w:tc>
        <w:tc>
          <w:tcPr>
            <w:tcW w:w="2169" w:type="dxa"/>
            <w:noWrap w:val="0"/>
            <w:vAlign w:val="center"/>
          </w:tcPr>
          <w:p w14:paraId="6350E9CC">
            <w:pPr>
              <w:widowControl/>
              <w:snapToGrid w:val="0"/>
              <w:spacing w:line="360" w:lineRule="auto"/>
              <w:jc w:val="center"/>
              <w:rPr>
                <w:rFonts w:hint="eastAsia" w:ascii="仿宋" w:hAnsi="仿宋" w:eastAsia="仿宋" w:cs="仿宋"/>
                <w:b w:val="0"/>
                <w:bCs/>
                <w:color w:val="auto"/>
                <w:sz w:val="24"/>
                <w:szCs w:val="24"/>
                <w:highlight w:val="none"/>
              </w:rPr>
            </w:pPr>
          </w:p>
        </w:tc>
      </w:tr>
      <w:tr w14:paraId="3EAD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noWrap w:val="0"/>
            <w:vAlign w:val="center"/>
          </w:tcPr>
          <w:p w14:paraId="5B0F30C6">
            <w:pPr>
              <w:widowControl/>
              <w:snapToGrid w:val="0"/>
              <w:spacing w:line="360" w:lineRule="auto"/>
              <w:jc w:val="center"/>
              <w:rPr>
                <w:rFonts w:hint="eastAsia" w:ascii="仿宋" w:hAnsi="仿宋" w:eastAsia="仿宋" w:cs="仿宋"/>
                <w:b w:val="0"/>
                <w:bCs/>
                <w:color w:val="auto"/>
                <w:sz w:val="24"/>
                <w:szCs w:val="24"/>
                <w:highlight w:val="none"/>
              </w:rPr>
            </w:pPr>
          </w:p>
        </w:tc>
        <w:tc>
          <w:tcPr>
            <w:tcW w:w="2551" w:type="dxa"/>
            <w:noWrap w:val="0"/>
            <w:vAlign w:val="center"/>
          </w:tcPr>
          <w:p w14:paraId="143AB8F3">
            <w:pPr>
              <w:widowControl/>
              <w:snapToGrid w:val="0"/>
              <w:spacing w:line="360" w:lineRule="auto"/>
              <w:jc w:val="center"/>
              <w:rPr>
                <w:rFonts w:hint="eastAsia" w:ascii="仿宋" w:hAnsi="仿宋" w:eastAsia="仿宋" w:cs="仿宋"/>
                <w:b w:val="0"/>
                <w:bCs/>
                <w:color w:val="auto"/>
                <w:sz w:val="24"/>
                <w:szCs w:val="24"/>
                <w:highlight w:val="none"/>
              </w:rPr>
            </w:pPr>
          </w:p>
        </w:tc>
        <w:tc>
          <w:tcPr>
            <w:tcW w:w="3122" w:type="dxa"/>
            <w:noWrap w:val="0"/>
            <w:vAlign w:val="center"/>
          </w:tcPr>
          <w:p w14:paraId="20B1D600">
            <w:pPr>
              <w:widowControl/>
              <w:snapToGrid w:val="0"/>
              <w:spacing w:line="360" w:lineRule="auto"/>
              <w:jc w:val="center"/>
              <w:rPr>
                <w:rFonts w:hint="eastAsia" w:ascii="仿宋" w:hAnsi="仿宋" w:eastAsia="仿宋" w:cs="仿宋"/>
                <w:b w:val="0"/>
                <w:bCs/>
                <w:color w:val="auto"/>
                <w:sz w:val="24"/>
                <w:szCs w:val="24"/>
                <w:highlight w:val="none"/>
              </w:rPr>
            </w:pPr>
          </w:p>
        </w:tc>
        <w:tc>
          <w:tcPr>
            <w:tcW w:w="2169" w:type="dxa"/>
            <w:noWrap w:val="0"/>
            <w:vAlign w:val="center"/>
          </w:tcPr>
          <w:p w14:paraId="3C57947E">
            <w:pPr>
              <w:widowControl/>
              <w:snapToGrid w:val="0"/>
              <w:spacing w:line="360" w:lineRule="auto"/>
              <w:jc w:val="center"/>
              <w:rPr>
                <w:rFonts w:hint="eastAsia" w:ascii="仿宋" w:hAnsi="仿宋" w:eastAsia="仿宋" w:cs="仿宋"/>
                <w:b w:val="0"/>
                <w:bCs/>
                <w:color w:val="auto"/>
                <w:sz w:val="24"/>
                <w:szCs w:val="24"/>
                <w:highlight w:val="none"/>
              </w:rPr>
            </w:pPr>
          </w:p>
        </w:tc>
      </w:tr>
    </w:tbl>
    <w:p w14:paraId="7EF92760">
      <w:pPr>
        <w:spacing w:line="360" w:lineRule="auto"/>
        <w:rPr>
          <w:rFonts w:hint="eastAsia" w:ascii="仿宋" w:hAnsi="仿宋" w:eastAsia="仿宋" w:cs="仿宋"/>
          <w:color w:val="auto"/>
          <w:highlight w:val="none"/>
        </w:rPr>
      </w:pPr>
    </w:p>
    <w:p w14:paraId="382A82A3">
      <w:pPr>
        <w:spacing w:line="360" w:lineRule="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注：供应商对付款方式、</w:t>
      </w:r>
      <w:r>
        <w:rPr>
          <w:rFonts w:hint="eastAsia" w:ascii="Times New Roman" w:hAnsi="Times New Roman" w:eastAsia="仿宋"/>
          <w:b/>
          <w:bCs/>
          <w:color w:val="auto"/>
          <w:sz w:val="24"/>
          <w:szCs w:val="24"/>
          <w:highlight w:val="none"/>
          <w:lang w:val="en-US" w:eastAsia="zh-CN"/>
        </w:rPr>
        <w:t>服务</w:t>
      </w:r>
      <w:r>
        <w:rPr>
          <w:rFonts w:hint="eastAsia" w:ascii="Times New Roman" w:hAnsi="Times New Roman" w:eastAsia="仿宋"/>
          <w:b/>
          <w:bCs/>
          <w:color w:val="auto"/>
          <w:sz w:val="24"/>
          <w:szCs w:val="24"/>
          <w:highlight w:val="none"/>
        </w:rPr>
        <w:t>期</w:t>
      </w:r>
      <w:r>
        <w:rPr>
          <w:rFonts w:hint="eastAsia" w:ascii="Times New Roman" w:hAnsi="Times New Roman" w:eastAsia="仿宋"/>
          <w:b/>
          <w:bCs/>
          <w:color w:val="auto"/>
          <w:sz w:val="24"/>
          <w:szCs w:val="24"/>
          <w:highlight w:val="none"/>
          <w:lang w:val="en-US" w:eastAsia="zh-CN"/>
        </w:rPr>
        <w:t>限</w:t>
      </w:r>
      <w:r>
        <w:rPr>
          <w:rFonts w:hint="eastAsia" w:ascii="Times New Roman" w:hAnsi="Times New Roman" w:eastAsia="仿宋"/>
          <w:b/>
          <w:bCs/>
          <w:color w:val="auto"/>
          <w:sz w:val="24"/>
          <w:szCs w:val="24"/>
          <w:highlight w:val="none"/>
        </w:rPr>
        <w:t>、</w:t>
      </w:r>
      <w:r>
        <w:rPr>
          <w:rFonts w:hint="eastAsia" w:ascii="Times New Roman" w:hAnsi="Times New Roman" w:eastAsia="仿宋"/>
          <w:b/>
          <w:bCs/>
          <w:color w:val="auto"/>
          <w:sz w:val="24"/>
          <w:szCs w:val="24"/>
          <w:highlight w:val="none"/>
          <w:lang w:val="en-US" w:eastAsia="zh-CN"/>
        </w:rPr>
        <w:t>服务</w:t>
      </w:r>
      <w:r>
        <w:rPr>
          <w:rFonts w:hint="eastAsia" w:ascii="Times New Roman" w:hAnsi="Times New Roman" w:eastAsia="仿宋"/>
          <w:b/>
          <w:bCs/>
          <w:color w:val="auto"/>
          <w:sz w:val="24"/>
          <w:szCs w:val="24"/>
          <w:highlight w:val="none"/>
        </w:rPr>
        <w:t>地点、</w:t>
      </w:r>
      <w:r>
        <w:rPr>
          <w:rFonts w:hint="eastAsia" w:ascii="仿宋" w:hAnsi="仿宋" w:eastAsia="仿宋" w:cs="仿宋"/>
          <w:b/>
          <w:bCs/>
          <w:color w:val="auto"/>
          <w:sz w:val="24"/>
          <w:szCs w:val="24"/>
          <w:highlight w:val="none"/>
        </w:rPr>
        <w:t>质量要求</w:t>
      </w:r>
      <w:r>
        <w:rPr>
          <w:rFonts w:hint="eastAsia" w:ascii="仿宋" w:hAnsi="仿宋" w:eastAsia="仿宋" w:cs="仿宋"/>
          <w:b/>
          <w:bCs/>
          <w:color w:val="auto"/>
          <w:sz w:val="24"/>
          <w:szCs w:val="24"/>
          <w:highlight w:val="none"/>
          <w:lang w:val="en-US" w:eastAsia="zh-CN"/>
        </w:rPr>
        <w:t>或</w:t>
      </w:r>
      <w:r>
        <w:rPr>
          <w:rFonts w:hint="eastAsia" w:ascii="仿宋" w:hAnsi="仿宋" w:eastAsia="仿宋" w:cs="仿宋"/>
          <w:b/>
          <w:bCs/>
          <w:color w:val="auto"/>
          <w:sz w:val="24"/>
          <w:szCs w:val="24"/>
          <w:highlight w:val="none"/>
        </w:rPr>
        <w:t>服务标准</w:t>
      </w:r>
      <w:r>
        <w:rPr>
          <w:rFonts w:hint="eastAsia" w:ascii="Times New Roman" w:hAnsi="Times New Roman" w:eastAsia="仿宋"/>
          <w:b/>
          <w:bCs/>
          <w:color w:val="auto"/>
          <w:sz w:val="24"/>
          <w:szCs w:val="24"/>
          <w:highlight w:val="none"/>
        </w:rPr>
        <w:t>及其他商务</w:t>
      </w:r>
      <w:r>
        <w:rPr>
          <w:rFonts w:hint="eastAsia" w:ascii="Times New Roman" w:hAnsi="Times New Roman" w:eastAsia="仿宋"/>
          <w:b/>
          <w:bCs/>
          <w:color w:val="auto"/>
          <w:sz w:val="24"/>
          <w:szCs w:val="24"/>
          <w:highlight w:val="none"/>
          <w:lang w:val="en-US" w:eastAsia="zh-CN"/>
        </w:rPr>
        <w:t>技术</w:t>
      </w:r>
      <w:r>
        <w:rPr>
          <w:rFonts w:hint="eastAsia" w:ascii="Times New Roman" w:hAnsi="Times New Roman" w:eastAsia="仿宋"/>
          <w:b/>
          <w:bCs/>
          <w:color w:val="auto"/>
          <w:sz w:val="24"/>
          <w:szCs w:val="24"/>
          <w:highlight w:val="none"/>
        </w:rPr>
        <w:t>条款完全响应的，</w:t>
      </w:r>
      <w:r>
        <w:rPr>
          <w:rFonts w:hint="eastAsia" w:ascii="Times New Roman" w:hAnsi="Times New Roman" w:eastAsia="仿宋"/>
          <w:b/>
          <w:bCs/>
          <w:color w:val="auto"/>
          <w:sz w:val="24"/>
          <w:szCs w:val="24"/>
          <w:highlight w:val="none"/>
          <w:lang w:val="en-US" w:eastAsia="zh-CN"/>
        </w:rPr>
        <w:t>上表可不填</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如有负偏离的可填写。</w:t>
      </w:r>
    </w:p>
    <w:p w14:paraId="7E995CB9">
      <w:pPr>
        <w:spacing w:line="360" w:lineRule="auto"/>
        <w:jc w:val="right"/>
        <w:rPr>
          <w:rFonts w:hint="eastAsia" w:ascii="仿宋" w:hAnsi="仿宋" w:eastAsia="仿宋" w:cs="仿宋"/>
          <w:b/>
          <w:bCs/>
          <w:color w:val="auto"/>
          <w:sz w:val="24"/>
          <w:szCs w:val="24"/>
          <w:highlight w:val="none"/>
          <w:lang w:val="en-US" w:eastAsia="zh-CN"/>
        </w:rPr>
      </w:pPr>
    </w:p>
    <w:p w14:paraId="51485962">
      <w:pPr>
        <w:spacing w:line="360" w:lineRule="auto"/>
        <w:jc w:val="right"/>
        <w:rPr>
          <w:rFonts w:hint="eastAsia" w:ascii="仿宋" w:hAnsi="仿宋" w:eastAsia="仿宋" w:cs="仿宋"/>
          <w:b/>
          <w:bCs/>
          <w:color w:val="auto"/>
          <w:sz w:val="24"/>
          <w:szCs w:val="24"/>
          <w:highlight w:val="none"/>
          <w:lang w:val="en-US" w:eastAsia="zh-CN"/>
        </w:rPr>
      </w:pPr>
    </w:p>
    <w:p w14:paraId="0F51E6D6">
      <w:pPr>
        <w:spacing w:line="360" w:lineRule="auto"/>
        <w:jc w:val="right"/>
        <w:rPr>
          <w:rFonts w:hint="eastAsia" w:ascii="仿宋" w:hAnsi="仿宋" w:eastAsia="仿宋" w:cs="仿宋"/>
          <w:b/>
          <w:bCs/>
          <w:color w:val="auto"/>
          <w:sz w:val="24"/>
          <w:szCs w:val="24"/>
          <w:highlight w:val="none"/>
          <w:lang w:val="en-US" w:eastAsia="zh-CN"/>
        </w:rPr>
      </w:pPr>
    </w:p>
    <w:p w14:paraId="1CBEA171">
      <w:pPr>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（盖单位章）</w:t>
      </w:r>
    </w:p>
    <w:p w14:paraId="0EA10408">
      <w:pPr>
        <w:spacing w:line="440" w:lineRule="exact"/>
        <w:ind w:firstLine="3076" w:firstLineChars="1282"/>
        <w:rPr>
          <w:rFonts w:hint="eastAsia" w:ascii="仿宋" w:hAnsi="仿宋" w:eastAsia="仿宋" w:cs="仿宋"/>
          <w:color w:val="auto"/>
          <w:sz w:val="24"/>
          <w:szCs w:val="24"/>
          <w:highlight w:val="none"/>
        </w:rPr>
      </w:pPr>
    </w:p>
    <w:p w14:paraId="2185DAF4">
      <w:pPr>
        <w:jc w:val="right"/>
        <w:rPr>
          <w:rFonts w:hint="eastAsia" w:ascii="仿宋" w:hAnsi="仿宋" w:eastAsia="仿宋" w:cs="仿宋"/>
          <w:color w:val="auto"/>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33F3FC22">
      <w:pPr>
        <w:numPr>
          <w:ilvl w:val="0"/>
          <w:numId w:val="0"/>
        </w:numPr>
        <w:rPr>
          <w:rFonts w:hint="eastAsia" w:ascii="仿宋" w:hAnsi="仿宋" w:eastAsia="仿宋" w:cs="仿宋"/>
          <w:color w:val="auto"/>
          <w:highlight w:val="none"/>
        </w:rPr>
      </w:pPr>
    </w:p>
    <w:p w14:paraId="37A24629">
      <w:pPr>
        <w:rPr>
          <w:rFonts w:hint="eastAsia" w:ascii="仿宋" w:hAnsi="仿宋" w:eastAsia="仿宋" w:cs="仿宋"/>
          <w:color w:val="auto"/>
          <w:highlight w:val="none"/>
        </w:rPr>
      </w:pPr>
      <w:bookmarkStart w:id="475" w:name="_Toc152042558"/>
      <w:bookmarkStart w:id="476" w:name="_Toc152042557"/>
      <w:bookmarkStart w:id="477" w:name="_Toc501460792"/>
      <w:bookmarkStart w:id="478" w:name="_Toc144974838"/>
      <w:bookmarkStart w:id="479" w:name="_Toc144974837"/>
      <w:bookmarkStart w:id="480" w:name="_Toc485218079"/>
      <w:bookmarkStart w:id="481" w:name="_Toc152045776"/>
      <w:bookmarkStart w:id="482" w:name="_Toc361508760"/>
      <w:bookmarkStart w:id="483" w:name="_Toc152045775"/>
      <w:r>
        <w:rPr>
          <w:rFonts w:hint="eastAsia" w:ascii="仿宋" w:hAnsi="仿宋" w:eastAsia="仿宋" w:cs="仿宋"/>
          <w:color w:val="auto"/>
          <w:highlight w:val="none"/>
        </w:rPr>
        <w:br w:type="page"/>
      </w:r>
    </w:p>
    <w:p w14:paraId="1AFA354A">
      <w:pPr>
        <w:pStyle w:val="48"/>
        <w:jc w:val="center"/>
        <w:rPr>
          <w:rFonts w:hint="eastAsia" w:ascii="仿宋" w:hAnsi="仿宋" w:eastAsia="仿宋" w:cs="仿宋"/>
          <w:color w:val="auto"/>
          <w:highlight w:val="none"/>
        </w:rPr>
        <w:sectPr>
          <w:footerReference r:id="rId4" w:type="default"/>
          <w:type w:val="continuous"/>
          <w:pgSz w:w="12240" w:h="15840"/>
          <w:pgMar w:top="1440" w:right="1800" w:bottom="1440" w:left="1800" w:header="720" w:footer="720" w:gutter="0"/>
          <w:pgNumType w:fmt="decimal"/>
          <w:cols w:space="720" w:num="1"/>
          <w:docGrid w:linePitch="285" w:charSpace="0"/>
        </w:sectPr>
      </w:pPr>
      <w:bookmarkStart w:id="484" w:name="_Toc179632793"/>
    </w:p>
    <w:bookmarkEnd w:id="475"/>
    <w:bookmarkEnd w:id="476"/>
    <w:bookmarkEnd w:id="477"/>
    <w:bookmarkEnd w:id="478"/>
    <w:bookmarkEnd w:id="479"/>
    <w:bookmarkEnd w:id="480"/>
    <w:bookmarkEnd w:id="481"/>
    <w:bookmarkEnd w:id="482"/>
    <w:bookmarkEnd w:id="483"/>
    <w:bookmarkEnd w:id="484"/>
    <w:p w14:paraId="4F061C9A">
      <w:pPr>
        <w:pStyle w:val="5"/>
        <w:spacing w:after="0"/>
        <w:jc w:val="center"/>
        <w:rPr>
          <w:rFonts w:hint="eastAsia" w:ascii="仿宋" w:hAnsi="仿宋" w:eastAsia="仿宋" w:cs="仿宋"/>
          <w:color w:val="auto"/>
          <w:highlight w:val="none"/>
        </w:rPr>
      </w:pPr>
      <w:bookmarkStart w:id="485" w:name="_Toc13494"/>
      <w:bookmarkStart w:id="486" w:name="_Toc32743"/>
      <w:bookmarkStart w:id="487" w:name="_Toc300835229"/>
      <w:bookmarkStart w:id="488" w:name="_Toc352703741"/>
      <w:r>
        <w:rPr>
          <w:rFonts w:hint="eastAsia" w:ascii="仿宋" w:hAnsi="仿宋" w:eastAsia="仿宋" w:cs="仿宋"/>
          <w:color w:val="auto"/>
          <w:highlight w:val="none"/>
          <w:lang w:val="en-US" w:eastAsia="zh-CN"/>
        </w:rPr>
        <w:t>四</w:t>
      </w:r>
      <w:r>
        <w:rPr>
          <w:rFonts w:hint="eastAsia" w:ascii="仿宋" w:hAnsi="仿宋" w:eastAsia="仿宋" w:cs="仿宋"/>
          <w:color w:val="auto"/>
          <w:highlight w:val="none"/>
        </w:rPr>
        <w:t>、资格审查资料</w:t>
      </w:r>
      <w:bookmarkEnd w:id="485"/>
      <w:bookmarkEnd w:id="486"/>
    </w:p>
    <w:p w14:paraId="72C4A433">
      <w:pPr>
        <w:pStyle w:val="6"/>
        <w:spacing w:before="20" w:after="0"/>
        <w:ind w:firstLine="137"/>
        <w:jc w:val="center"/>
        <w:rPr>
          <w:rFonts w:hint="eastAsia" w:ascii="仿宋" w:hAnsi="仿宋" w:eastAsia="仿宋" w:cs="仿宋"/>
          <w:b w:val="0"/>
          <w:bCs w:val="0"/>
          <w:color w:val="auto"/>
          <w:highlight w:val="none"/>
          <w:lang w:eastAsia="zh-CN"/>
        </w:rPr>
      </w:pPr>
      <w:bookmarkStart w:id="489" w:name="_Toc691"/>
      <w:bookmarkStart w:id="490" w:name="_Toc2922"/>
      <w:bookmarkStart w:id="491" w:name="_Toc437"/>
      <w:r>
        <w:rPr>
          <w:rFonts w:hint="eastAsia" w:ascii="仿宋" w:hAnsi="仿宋" w:eastAsia="仿宋" w:cs="仿宋"/>
          <w:b w:val="0"/>
          <w:bCs w:val="0"/>
          <w:color w:val="auto"/>
          <w:highlight w:val="none"/>
        </w:rPr>
        <w:t>（一）</w:t>
      </w:r>
      <w:bookmarkEnd w:id="489"/>
      <w:bookmarkEnd w:id="490"/>
      <w:bookmarkEnd w:id="491"/>
      <w:r>
        <w:rPr>
          <w:rFonts w:hint="eastAsia" w:ascii="仿宋" w:hAnsi="仿宋" w:eastAsia="仿宋" w:cs="仿宋"/>
          <w:b w:val="0"/>
          <w:bCs w:val="0"/>
          <w:color w:val="auto"/>
          <w:highlight w:val="none"/>
          <w:lang w:val="en-US" w:eastAsia="zh-CN"/>
        </w:rPr>
        <w:t>营业执照</w:t>
      </w:r>
    </w:p>
    <w:p w14:paraId="7E19C388">
      <w:pPr>
        <w:spacing w:line="400" w:lineRule="exact"/>
        <w:rPr>
          <w:rFonts w:hint="eastAsia" w:ascii="仿宋" w:hAnsi="仿宋" w:eastAsia="仿宋" w:cs="仿宋"/>
          <w:color w:val="auto"/>
          <w:highlight w:val="none"/>
        </w:rPr>
      </w:pPr>
    </w:p>
    <w:p w14:paraId="0956CF59">
      <w:pPr>
        <w:pStyle w:val="3"/>
        <w:rPr>
          <w:rFonts w:hint="default" w:ascii="仿宋" w:hAnsi="仿宋" w:eastAsia="仿宋" w:cs="仿宋"/>
          <w:color w:val="auto"/>
          <w:kern w:val="2"/>
          <w:sz w:val="21"/>
          <w:szCs w:val="22"/>
          <w:highlight w:val="none"/>
          <w:lang w:val="en-US" w:eastAsia="zh-CN" w:bidi="ar-SA"/>
        </w:rPr>
      </w:pPr>
    </w:p>
    <w:p w14:paraId="07202593">
      <w:pPr>
        <w:spacing w:line="400" w:lineRule="exact"/>
        <w:rPr>
          <w:rFonts w:hint="eastAsia" w:ascii="仿宋" w:hAnsi="仿宋" w:eastAsia="仿宋" w:cs="仿宋"/>
          <w:color w:val="auto"/>
          <w:highlight w:val="none"/>
        </w:rPr>
      </w:pPr>
    </w:p>
    <w:p w14:paraId="22287FEB">
      <w:pPr>
        <w:spacing w:line="440" w:lineRule="exact"/>
        <w:rPr>
          <w:rFonts w:hint="eastAsia" w:ascii="仿宋" w:hAnsi="仿宋" w:eastAsia="仿宋" w:cs="仿宋"/>
          <w:color w:val="auto"/>
          <w:sz w:val="20"/>
          <w:highlight w:val="none"/>
        </w:rPr>
      </w:pPr>
      <w:r>
        <w:rPr>
          <w:rFonts w:hint="eastAsia" w:ascii="仿宋" w:hAnsi="仿宋" w:eastAsia="仿宋" w:cs="仿宋"/>
          <w:color w:val="auto"/>
          <w:highlight w:val="none"/>
        </w:rPr>
        <w:br w:type="page"/>
      </w:r>
    </w:p>
    <w:p w14:paraId="1368C4FF">
      <w:pPr>
        <w:pStyle w:val="6"/>
        <w:jc w:val="center"/>
        <w:outlineLvl w:val="2"/>
        <w:rPr>
          <w:rFonts w:hint="eastAsia" w:ascii="仿宋" w:hAnsi="仿宋" w:eastAsia="仿宋" w:cs="仿宋"/>
          <w:bCs w:val="0"/>
          <w:color w:val="auto"/>
          <w:highlight w:val="none"/>
        </w:rPr>
      </w:pPr>
      <w:bookmarkStart w:id="492" w:name="_Toc9378"/>
      <w:bookmarkStart w:id="493" w:name="_Toc1350"/>
      <w:bookmarkStart w:id="494" w:name="_Toc25218"/>
      <w:r>
        <w:rPr>
          <w:rFonts w:hint="eastAsia" w:ascii="仿宋" w:hAnsi="仿宋" w:eastAsia="仿宋" w:cs="仿宋"/>
          <w:b w:val="0"/>
          <w:bCs w:val="0"/>
          <w:color w:val="auto"/>
          <w:highlight w:val="none"/>
        </w:rPr>
        <w:t>（</w:t>
      </w:r>
      <w:r>
        <w:rPr>
          <w:rFonts w:hint="eastAsia" w:ascii="仿宋" w:hAnsi="仿宋" w:eastAsia="仿宋" w:cs="仿宋"/>
          <w:b w:val="0"/>
          <w:bCs w:val="0"/>
          <w:color w:val="auto"/>
          <w:highlight w:val="none"/>
          <w:lang w:val="en-US" w:eastAsia="zh-CN"/>
        </w:rPr>
        <w:t>二</w:t>
      </w:r>
      <w:r>
        <w:rPr>
          <w:rFonts w:hint="eastAsia" w:ascii="仿宋" w:hAnsi="仿宋" w:eastAsia="仿宋" w:cs="仿宋"/>
          <w:b w:val="0"/>
          <w:bCs w:val="0"/>
          <w:color w:val="auto"/>
          <w:highlight w:val="none"/>
        </w:rPr>
        <w:t>）</w:t>
      </w:r>
      <w:bookmarkEnd w:id="492"/>
      <w:bookmarkEnd w:id="493"/>
      <w:bookmarkEnd w:id="494"/>
      <w:bookmarkStart w:id="495" w:name="_Toc9946"/>
      <w:bookmarkStart w:id="496" w:name="_Toc4861"/>
      <w:bookmarkStart w:id="497" w:name="_Toc20069"/>
      <w:r>
        <w:rPr>
          <w:rFonts w:hint="eastAsia" w:ascii="仿宋" w:hAnsi="仿宋" w:eastAsia="仿宋" w:cs="仿宋"/>
          <w:bCs/>
          <w:color w:val="auto"/>
          <w:highlight w:val="none"/>
          <w:lang w:eastAsia="zh-CN"/>
        </w:rPr>
        <w:t>供应商</w:t>
      </w:r>
      <w:r>
        <w:rPr>
          <w:rFonts w:hint="eastAsia" w:ascii="仿宋" w:hAnsi="仿宋" w:eastAsia="仿宋" w:cs="仿宋"/>
          <w:bCs/>
          <w:color w:val="auto"/>
          <w:highlight w:val="none"/>
        </w:rPr>
        <w:t>信誉情况</w:t>
      </w:r>
      <w:r>
        <w:rPr>
          <w:rFonts w:hint="eastAsia" w:ascii="仿宋" w:hAnsi="仿宋" w:eastAsia="仿宋" w:cs="仿宋"/>
          <w:bCs w:val="0"/>
          <w:color w:val="auto"/>
          <w:highlight w:val="none"/>
        </w:rPr>
        <w:t>诚信</w:t>
      </w:r>
      <w:r>
        <w:rPr>
          <w:rFonts w:hint="eastAsia" w:ascii="仿宋" w:hAnsi="仿宋" w:eastAsia="仿宋" w:cs="仿宋"/>
          <w:bCs w:val="0"/>
          <w:color w:val="auto"/>
          <w:highlight w:val="none"/>
          <w:lang w:eastAsia="zh-CN"/>
        </w:rPr>
        <w:t>响应</w:t>
      </w:r>
      <w:r>
        <w:rPr>
          <w:rFonts w:hint="eastAsia" w:ascii="仿宋" w:hAnsi="仿宋" w:eastAsia="仿宋" w:cs="仿宋"/>
          <w:bCs w:val="0"/>
          <w:color w:val="auto"/>
          <w:highlight w:val="none"/>
        </w:rPr>
        <w:t>承诺书</w:t>
      </w:r>
      <w:bookmarkEnd w:id="495"/>
      <w:bookmarkEnd w:id="496"/>
      <w:bookmarkEnd w:id="497"/>
    </w:p>
    <w:p w14:paraId="1D5C6682">
      <w:pPr>
        <w:spacing w:line="360" w:lineRule="auto"/>
        <w:rPr>
          <w:rFonts w:hint="eastAsia" w:ascii="仿宋" w:hAnsi="仿宋" w:eastAsia="仿宋" w:cs="仿宋"/>
          <w:color w:val="auto"/>
          <w:sz w:val="24"/>
          <w:szCs w:val="24"/>
          <w:highlight w:val="none"/>
          <w:u w:val="none"/>
          <w:lang w:eastAsia="zh-CN"/>
        </w:rPr>
      </w:pPr>
      <w:r>
        <w:rPr>
          <w:rFonts w:hint="eastAsia" w:ascii="仿宋" w:hAnsi="仿宋" w:eastAsia="仿宋" w:cs="仿宋"/>
          <w:bCs/>
          <w:color w:val="auto"/>
          <w:sz w:val="24"/>
          <w:szCs w:val="24"/>
          <w:highlight w:val="none"/>
          <w:u w:val="none"/>
        </w:rPr>
        <w:t>致：</w:t>
      </w:r>
      <w:r>
        <w:rPr>
          <w:rFonts w:hint="eastAsia" w:ascii="仿宋" w:hAnsi="仿宋" w:eastAsia="仿宋" w:cs="仿宋"/>
          <w:color w:val="auto"/>
          <w:sz w:val="24"/>
          <w:szCs w:val="24"/>
          <w:highlight w:val="none"/>
          <w:u w:val="none"/>
          <w:lang w:eastAsia="zh-CN"/>
        </w:rPr>
        <w:t>安徽万丰祥餐饮经营管理有限公司</w:t>
      </w:r>
    </w:p>
    <w:p w14:paraId="1B8DE452">
      <w:pPr>
        <w:spacing w:before="240" w:beforeLines="10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我公司郑重承诺：</w:t>
      </w:r>
    </w:p>
    <w:p w14:paraId="7535AD84">
      <w:pPr>
        <w:spacing w:before="240" w:beforeLines="10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1.遵循公开、公正和诚实信用的原则自愿参加</w:t>
      </w:r>
      <w:r>
        <w:rPr>
          <w:rFonts w:hint="eastAsia" w:ascii="仿宋" w:hAnsi="仿宋" w:eastAsia="仿宋" w:cs="仿宋"/>
          <w:color w:val="auto"/>
          <w:sz w:val="24"/>
          <w:szCs w:val="24"/>
          <w:highlight w:val="none"/>
          <w:u w:val="single"/>
          <w:lang w:eastAsia="zh-CN"/>
        </w:rPr>
        <w:t>安徽万丰祥餐饮经营管理有限公司</w:t>
      </w:r>
      <w:r>
        <w:rPr>
          <w:rFonts w:hint="eastAsia" w:ascii="仿宋" w:hAnsi="仿宋" w:eastAsia="仿宋" w:cs="仿宋"/>
          <w:color w:val="auto"/>
          <w:sz w:val="24"/>
          <w:szCs w:val="24"/>
          <w:highlight w:val="none"/>
          <w:u w:val="single"/>
        </w:rPr>
        <w:t xml:space="preserve">食材配送服务入围采购项目 </w:t>
      </w:r>
      <w:r>
        <w:rPr>
          <w:rFonts w:hint="eastAsia" w:ascii="仿宋" w:hAnsi="仿宋" w:eastAsia="仿宋" w:cs="仿宋"/>
          <w:color w:val="auto"/>
          <w:sz w:val="24"/>
          <w:szCs w:val="24"/>
          <w:highlight w:val="none"/>
          <w:lang w:val="en-US" w:eastAsia="zh-CN"/>
        </w:rPr>
        <w:t>第</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lang w:val="en-US" w:eastAsia="zh-CN"/>
        </w:rPr>
        <w:t>采购包</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val="en-US" w:eastAsia="zh-CN"/>
        </w:rPr>
        <w:t>询比采购活动</w:t>
      </w:r>
      <w:r>
        <w:rPr>
          <w:rFonts w:hint="eastAsia" w:ascii="仿宋" w:hAnsi="仿宋" w:eastAsia="仿宋" w:cs="仿宋"/>
          <w:color w:val="auto"/>
          <w:sz w:val="24"/>
          <w:szCs w:val="24"/>
          <w:highlight w:val="none"/>
        </w:rPr>
        <w:t>。</w:t>
      </w:r>
    </w:p>
    <w:p w14:paraId="45DD13A0">
      <w:pPr>
        <w:spacing w:before="240" w:beforeLines="100"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2.本次</w:t>
      </w:r>
      <w:r>
        <w:rPr>
          <w:rFonts w:hint="eastAsia" w:ascii="仿宋" w:hAnsi="仿宋" w:eastAsia="仿宋" w:cs="仿宋"/>
          <w:color w:val="auto"/>
          <w:sz w:val="24"/>
          <w:szCs w:val="24"/>
          <w:highlight w:val="none"/>
          <w:lang w:eastAsia="zh-CN"/>
        </w:rPr>
        <w:t>响应</w:t>
      </w:r>
      <w:r>
        <w:rPr>
          <w:rFonts w:hint="eastAsia" w:ascii="仿宋" w:hAnsi="仿宋" w:eastAsia="仿宋" w:cs="仿宋"/>
          <w:color w:val="auto"/>
          <w:sz w:val="24"/>
          <w:szCs w:val="24"/>
          <w:highlight w:val="none"/>
        </w:rPr>
        <w:t>提供的资质证书、业绩及奖项等一切材料均真实、有效、合法</w:t>
      </w:r>
      <w:r>
        <w:rPr>
          <w:rFonts w:hint="eastAsia" w:ascii="仿宋" w:hAnsi="仿宋" w:eastAsia="仿宋" w:cs="仿宋"/>
          <w:color w:val="auto"/>
          <w:sz w:val="24"/>
          <w:szCs w:val="24"/>
          <w:highlight w:val="none"/>
          <w:lang w:val="en-US" w:eastAsia="zh-CN"/>
        </w:rPr>
        <w:t>。</w:t>
      </w:r>
    </w:p>
    <w:p w14:paraId="4E7A7A49">
      <w:pPr>
        <w:spacing w:before="240" w:beforeLines="10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3.本次</w:t>
      </w:r>
      <w:r>
        <w:rPr>
          <w:rFonts w:hint="eastAsia" w:ascii="仿宋" w:hAnsi="仿宋" w:eastAsia="仿宋" w:cs="仿宋"/>
          <w:color w:val="auto"/>
          <w:sz w:val="24"/>
          <w:szCs w:val="24"/>
          <w:highlight w:val="none"/>
          <w:lang w:eastAsia="zh-CN"/>
        </w:rPr>
        <w:t>响应</w:t>
      </w:r>
      <w:r>
        <w:rPr>
          <w:rFonts w:hint="eastAsia" w:ascii="仿宋" w:hAnsi="仿宋" w:eastAsia="仿宋" w:cs="仿宋"/>
          <w:color w:val="auto"/>
          <w:sz w:val="24"/>
          <w:szCs w:val="24"/>
          <w:highlight w:val="none"/>
        </w:rPr>
        <w:t>为我公司自行</w:t>
      </w:r>
      <w:r>
        <w:rPr>
          <w:rFonts w:hint="eastAsia" w:ascii="仿宋" w:hAnsi="仿宋" w:eastAsia="仿宋" w:cs="仿宋"/>
          <w:color w:val="auto"/>
          <w:sz w:val="24"/>
          <w:szCs w:val="24"/>
          <w:highlight w:val="none"/>
          <w:lang w:val="en-US" w:eastAsia="zh-CN"/>
        </w:rPr>
        <w:t>参与询比采购活动</w:t>
      </w:r>
      <w:r>
        <w:rPr>
          <w:rFonts w:hint="eastAsia" w:ascii="仿宋" w:hAnsi="仿宋" w:eastAsia="仿宋" w:cs="仿宋"/>
          <w:color w:val="auto"/>
          <w:sz w:val="24"/>
          <w:szCs w:val="24"/>
          <w:highlight w:val="none"/>
        </w:rPr>
        <w:t>，未出借、转让资质证书，未让他人挂靠</w:t>
      </w:r>
      <w:r>
        <w:rPr>
          <w:rFonts w:hint="eastAsia" w:ascii="仿宋" w:hAnsi="仿宋" w:eastAsia="仿宋" w:cs="仿宋"/>
          <w:color w:val="auto"/>
          <w:sz w:val="24"/>
          <w:szCs w:val="24"/>
          <w:highlight w:val="none"/>
          <w:lang w:val="en-US" w:eastAsia="zh-CN"/>
        </w:rPr>
        <w:t>参与询比询比采购活动</w:t>
      </w:r>
      <w:r>
        <w:rPr>
          <w:rFonts w:hint="eastAsia" w:ascii="仿宋" w:hAnsi="仿宋" w:eastAsia="仿宋" w:cs="仿宋"/>
          <w:color w:val="auto"/>
          <w:sz w:val="24"/>
          <w:szCs w:val="24"/>
          <w:highlight w:val="none"/>
        </w:rPr>
        <w:t>。</w:t>
      </w:r>
    </w:p>
    <w:p w14:paraId="786739E6">
      <w:pPr>
        <w:spacing w:before="240" w:beforeLines="10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4.未与其他</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相互串通</w:t>
      </w:r>
      <w:r>
        <w:rPr>
          <w:rFonts w:hint="eastAsia" w:ascii="仿宋" w:hAnsi="仿宋" w:eastAsia="仿宋" w:cs="仿宋"/>
          <w:color w:val="auto"/>
          <w:sz w:val="24"/>
          <w:szCs w:val="24"/>
          <w:highlight w:val="none"/>
          <w:lang w:eastAsia="zh-CN"/>
        </w:rPr>
        <w:t>响应</w:t>
      </w:r>
      <w:r>
        <w:rPr>
          <w:rFonts w:hint="eastAsia" w:ascii="仿宋" w:hAnsi="仿宋" w:eastAsia="仿宋" w:cs="仿宋"/>
          <w:color w:val="auto"/>
          <w:sz w:val="24"/>
          <w:szCs w:val="24"/>
          <w:highlight w:val="none"/>
        </w:rPr>
        <w:t>报价，未排挤其他</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的公平竞争、损害</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的合法权益。</w:t>
      </w:r>
    </w:p>
    <w:p w14:paraId="324049AA">
      <w:pPr>
        <w:spacing w:before="240" w:beforeLines="10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5.未与</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询比</w:t>
      </w:r>
      <w:r>
        <w:rPr>
          <w:rFonts w:hint="eastAsia" w:ascii="仿宋" w:hAnsi="仿宋" w:eastAsia="仿宋" w:cs="仿宋"/>
          <w:color w:val="auto"/>
          <w:sz w:val="24"/>
          <w:szCs w:val="24"/>
          <w:highlight w:val="none"/>
        </w:rPr>
        <w:t>代理机构或其他</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串通</w:t>
      </w:r>
      <w:r>
        <w:rPr>
          <w:rFonts w:hint="eastAsia" w:ascii="仿宋" w:hAnsi="仿宋" w:eastAsia="仿宋" w:cs="仿宋"/>
          <w:color w:val="auto"/>
          <w:sz w:val="24"/>
          <w:szCs w:val="24"/>
          <w:highlight w:val="none"/>
          <w:lang w:val="en-US" w:eastAsia="zh-CN"/>
        </w:rPr>
        <w:t>询比</w:t>
      </w:r>
      <w:r>
        <w:rPr>
          <w:rFonts w:hint="eastAsia" w:ascii="仿宋" w:hAnsi="仿宋" w:eastAsia="仿宋" w:cs="仿宋"/>
          <w:color w:val="auto"/>
          <w:sz w:val="24"/>
          <w:szCs w:val="24"/>
          <w:highlight w:val="none"/>
          <w:lang w:eastAsia="zh-CN"/>
        </w:rPr>
        <w:t>响应</w:t>
      </w:r>
      <w:r>
        <w:rPr>
          <w:rFonts w:hint="eastAsia" w:ascii="仿宋" w:hAnsi="仿宋" w:eastAsia="仿宋" w:cs="仿宋"/>
          <w:color w:val="auto"/>
          <w:sz w:val="24"/>
          <w:szCs w:val="24"/>
          <w:highlight w:val="none"/>
        </w:rPr>
        <w:t>，损害国家利益、社会公共利益或者他人的合法权益。</w:t>
      </w:r>
    </w:p>
    <w:p w14:paraId="5091632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后按照合同约定履行义务，完成</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项目；不向他人转让</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项目，不将</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项目肢解后分别向他人转让；不违法分包。</w:t>
      </w:r>
    </w:p>
    <w:p w14:paraId="29777D0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7.如提出异议（投诉），对提供的异议（投诉）材料的真实性负责，不恶意异议（投诉）；不捏造事实、提供虚假材料或者以非法手段取得证明材料进行异议（投诉），影响交易活动正常进行；否则，我公司愿</w:t>
      </w:r>
      <w:r>
        <w:rPr>
          <w:rFonts w:hint="eastAsia" w:ascii="仿宋" w:hAnsi="仿宋" w:eastAsia="仿宋" w:cs="仿宋"/>
          <w:color w:val="auto"/>
          <w:sz w:val="24"/>
          <w:szCs w:val="24"/>
          <w:highlight w:val="none"/>
          <w:lang w:eastAsia="zh-CN"/>
        </w:rPr>
        <w:t>意</w:t>
      </w:r>
      <w:r>
        <w:rPr>
          <w:rFonts w:hint="eastAsia" w:ascii="仿宋" w:hAnsi="仿宋" w:eastAsia="仿宋" w:cs="仿宋"/>
          <w:color w:val="auto"/>
          <w:sz w:val="24"/>
          <w:szCs w:val="24"/>
          <w:highlight w:val="none"/>
        </w:rPr>
        <w:t>接受交易监督管理部门作出的相关</w:t>
      </w:r>
      <w:r>
        <w:rPr>
          <w:rFonts w:hint="eastAsia" w:ascii="仿宋" w:hAnsi="仿宋" w:eastAsia="仿宋" w:cs="仿宋"/>
          <w:color w:val="auto"/>
          <w:sz w:val="24"/>
          <w:szCs w:val="24"/>
          <w:highlight w:val="none"/>
          <w:lang w:eastAsia="zh-CN"/>
        </w:rPr>
        <w:t>处理、</w:t>
      </w:r>
      <w:r>
        <w:rPr>
          <w:rFonts w:hint="eastAsia" w:ascii="仿宋" w:hAnsi="仿宋" w:eastAsia="仿宋" w:cs="仿宋"/>
          <w:color w:val="auto"/>
          <w:sz w:val="24"/>
          <w:szCs w:val="24"/>
          <w:highlight w:val="none"/>
        </w:rPr>
        <w:t>处罚。</w:t>
      </w:r>
    </w:p>
    <w:p w14:paraId="268B6C6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8.本次</w:t>
      </w:r>
      <w:r>
        <w:rPr>
          <w:rFonts w:hint="eastAsia" w:ascii="仿宋" w:hAnsi="仿宋" w:eastAsia="仿宋" w:cs="仿宋"/>
          <w:color w:val="auto"/>
          <w:sz w:val="24"/>
          <w:szCs w:val="24"/>
          <w:highlight w:val="none"/>
          <w:lang w:eastAsia="zh-CN"/>
        </w:rPr>
        <w:t>响应</w:t>
      </w:r>
      <w:r>
        <w:rPr>
          <w:rFonts w:hint="eastAsia" w:ascii="仿宋" w:hAnsi="仿宋" w:eastAsia="仿宋" w:cs="仿宋"/>
          <w:color w:val="auto"/>
          <w:sz w:val="24"/>
          <w:szCs w:val="24"/>
          <w:highlight w:val="none"/>
        </w:rPr>
        <w:t>不存在第二章“</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须知”第</w:t>
      </w:r>
      <w:r>
        <w:rPr>
          <w:rFonts w:hint="eastAsia" w:ascii="仿宋" w:hAnsi="仿宋" w:eastAsia="仿宋" w:cs="仿宋"/>
          <w:color w:val="auto"/>
          <w:sz w:val="24"/>
          <w:szCs w:val="24"/>
          <w:highlight w:val="none"/>
          <w:lang w:val="en-US" w:eastAsia="zh-CN"/>
        </w:rPr>
        <w:t>1.2.2</w:t>
      </w:r>
      <w:r>
        <w:rPr>
          <w:rFonts w:hint="eastAsia" w:ascii="仿宋" w:hAnsi="仿宋" w:eastAsia="仿宋" w:cs="仿宋"/>
          <w:color w:val="auto"/>
          <w:sz w:val="24"/>
          <w:szCs w:val="24"/>
          <w:highlight w:val="none"/>
        </w:rPr>
        <w:t>项、第</w:t>
      </w:r>
      <w:r>
        <w:rPr>
          <w:rFonts w:hint="eastAsia" w:ascii="仿宋" w:hAnsi="仿宋" w:eastAsia="仿宋" w:cs="仿宋"/>
          <w:color w:val="auto"/>
          <w:sz w:val="24"/>
          <w:szCs w:val="24"/>
          <w:highlight w:val="none"/>
          <w:lang w:val="en-US" w:eastAsia="zh-CN"/>
        </w:rPr>
        <w:t>1.2.3</w:t>
      </w:r>
      <w:r>
        <w:rPr>
          <w:rFonts w:hint="eastAsia" w:ascii="仿宋" w:hAnsi="仿宋" w:eastAsia="仿宋" w:cs="仿宋"/>
          <w:color w:val="auto"/>
          <w:sz w:val="24"/>
          <w:szCs w:val="24"/>
          <w:highlight w:val="none"/>
        </w:rPr>
        <w:t>项规定</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任何一种情形。</w:t>
      </w:r>
    </w:p>
    <w:p w14:paraId="4F129670">
      <w:pPr>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（盖单位章）</w:t>
      </w:r>
    </w:p>
    <w:p w14:paraId="3D8CD895">
      <w:pPr>
        <w:adjustRightInd w:val="0"/>
        <w:snapToGrid w:val="0"/>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日</w:t>
      </w:r>
    </w:p>
    <w:p w14:paraId="47C7572B">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1D334610">
      <w:pPr>
        <w:rPr>
          <w:rFonts w:hint="eastAsia" w:ascii="仿宋" w:hAnsi="仿宋" w:eastAsia="仿宋" w:cs="仿宋"/>
          <w:color w:val="auto"/>
          <w:highlight w:val="none"/>
        </w:rPr>
      </w:pPr>
    </w:p>
    <w:bookmarkEnd w:id="487"/>
    <w:bookmarkEnd w:id="488"/>
    <w:p w14:paraId="0186DEB1">
      <w:pPr>
        <w:pStyle w:val="5"/>
        <w:bidi w:val="0"/>
        <w:jc w:val="center"/>
        <w:rPr>
          <w:rFonts w:hint="eastAsia" w:ascii="仿宋" w:hAnsi="仿宋" w:eastAsia="仿宋" w:cs="仿宋"/>
          <w:color w:val="auto"/>
          <w:sz w:val="32"/>
          <w:szCs w:val="32"/>
          <w:highlight w:val="none"/>
          <w:lang w:eastAsia="zh-CN"/>
        </w:rPr>
      </w:pPr>
      <w:bookmarkStart w:id="498" w:name="_Toc32268"/>
      <w:bookmarkStart w:id="499" w:name="_Toc9028"/>
      <w:bookmarkStart w:id="500" w:name="_Toc151393528"/>
      <w:bookmarkStart w:id="501" w:name="_Toc17783"/>
      <w:bookmarkStart w:id="502" w:name="_Toc2364"/>
      <w:bookmarkStart w:id="503" w:name="_Toc2377"/>
      <w:bookmarkStart w:id="504" w:name="_Toc24286"/>
      <w:bookmarkStart w:id="505" w:name="_Toc3804"/>
      <w:bookmarkStart w:id="506" w:name="_Toc501460803"/>
      <w:r>
        <w:rPr>
          <w:rFonts w:hint="eastAsia" w:ascii="仿宋" w:hAnsi="仿宋" w:eastAsia="仿宋" w:cs="仿宋"/>
          <w:color w:val="auto"/>
          <w:sz w:val="32"/>
          <w:szCs w:val="32"/>
          <w:highlight w:val="none"/>
          <w:lang w:val="en-US" w:eastAsia="zh-CN"/>
        </w:rPr>
        <w:t>五</w:t>
      </w:r>
      <w:r>
        <w:rPr>
          <w:rFonts w:hint="eastAsia" w:ascii="仿宋" w:hAnsi="仿宋" w:eastAsia="仿宋" w:cs="仿宋"/>
          <w:color w:val="auto"/>
          <w:sz w:val="32"/>
          <w:szCs w:val="32"/>
          <w:highlight w:val="none"/>
        </w:rPr>
        <w:t>、</w:t>
      </w:r>
      <w:bookmarkEnd w:id="498"/>
      <w:bookmarkEnd w:id="499"/>
      <w:bookmarkEnd w:id="500"/>
      <w:bookmarkEnd w:id="501"/>
      <w:bookmarkEnd w:id="502"/>
      <w:bookmarkEnd w:id="503"/>
      <w:bookmarkEnd w:id="504"/>
      <w:bookmarkEnd w:id="505"/>
      <w:r>
        <w:rPr>
          <w:rFonts w:hint="eastAsia" w:ascii="仿宋" w:hAnsi="仿宋" w:eastAsia="仿宋" w:cs="仿宋"/>
          <w:color w:val="auto"/>
          <w:sz w:val="32"/>
          <w:szCs w:val="32"/>
          <w:highlight w:val="none"/>
          <w:lang w:val="en-US" w:eastAsia="zh-CN"/>
        </w:rPr>
        <w:t>业绩</w:t>
      </w:r>
    </w:p>
    <w:p w14:paraId="561F43DE">
      <w:pPr>
        <w:pStyle w:val="6"/>
        <w:spacing w:before="20" w:after="0"/>
        <w:ind w:firstLine="137"/>
        <w:jc w:val="center"/>
        <w:rPr>
          <w:rFonts w:hint="eastAsia" w:ascii="仿宋" w:hAnsi="仿宋" w:eastAsia="仿宋" w:cs="仿宋"/>
          <w:color w:val="auto"/>
          <w:highlight w:val="none"/>
          <w:lang w:eastAsia="zh-CN"/>
        </w:rPr>
      </w:pPr>
      <w:r>
        <w:rPr>
          <w:rFonts w:hint="eastAsia" w:ascii="仿宋" w:hAnsi="仿宋" w:eastAsia="仿宋" w:cs="仿宋"/>
          <w:color w:val="auto"/>
          <w:sz w:val="24"/>
          <w:szCs w:val="24"/>
          <w:highlight w:val="none"/>
          <w:lang w:val="en-US" w:eastAsia="zh-CN"/>
        </w:rPr>
        <w:t>格式自拟</w:t>
      </w:r>
    </w:p>
    <w:p w14:paraId="3F34E8CD">
      <w:pPr>
        <w:spacing w:line="400" w:lineRule="exact"/>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br w:type="page"/>
      </w:r>
      <w:bookmarkEnd w:id="506"/>
    </w:p>
    <w:p w14:paraId="25F226C3">
      <w:pPr>
        <w:pStyle w:val="5"/>
        <w:spacing w:line="400" w:lineRule="exact"/>
        <w:jc w:val="center"/>
        <w:rPr>
          <w:rFonts w:hint="eastAsia" w:ascii="仿宋" w:hAnsi="仿宋" w:eastAsia="仿宋" w:cs="仿宋"/>
          <w:color w:val="auto"/>
          <w:highlight w:val="none"/>
          <w:lang w:eastAsia="zh-CN"/>
        </w:rPr>
      </w:pPr>
      <w:bookmarkStart w:id="507" w:name="_Toc1773"/>
      <w:bookmarkStart w:id="508" w:name="_Toc10662"/>
      <w:r>
        <w:rPr>
          <w:rFonts w:hint="eastAsia" w:ascii="仿宋" w:hAnsi="仿宋" w:eastAsia="仿宋" w:cs="仿宋"/>
          <w:color w:val="auto"/>
          <w:highlight w:val="none"/>
          <w:lang w:val="en-US" w:eastAsia="zh-CN"/>
        </w:rPr>
        <w:t>六</w:t>
      </w:r>
      <w:r>
        <w:rPr>
          <w:rFonts w:hint="eastAsia" w:ascii="仿宋" w:hAnsi="仿宋" w:eastAsia="仿宋" w:cs="仿宋"/>
          <w:color w:val="auto"/>
          <w:highlight w:val="none"/>
        </w:rPr>
        <w:t>、</w:t>
      </w:r>
      <w:bookmarkEnd w:id="507"/>
      <w:bookmarkEnd w:id="508"/>
      <w:r>
        <w:rPr>
          <w:rFonts w:hint="eastAsia" w:ascii="仿宋" w:hAnsi="仿宋" w:eastAsia="仿宋" w:cs="仿宋"/>
          <w:color w:val="auto"/>
          <w:highlight w:val="none"/>
          <w:lang w:val="en-US" w:eastAsia="zh-CN"/>
        </w:rPr>
        <w:t>配送方案</w:t>
      </w:r>
    </w:p>
    <w:p w14:paraId="5325906D">
      <w:pPr>
        <w:rPr>
          <w:rFonts w:hint="eastAsia" w:ascii="仿宋" w:hAnsi="仿宋" w:eastAsia="仿宋" w:cs="仿宋"/>
          <w:color w:val="auto"/>
          <w:highlight w:val="none"/>
        </w:rPr>
      </w:pPr>
    </w:p>
    <w:p w14:paraId="5F0DBB49">
      <w:pPr>
        <w:pStyle w:val="6"/>
        <w:spacing w:before="20" w:after="0"/>
        <w:ind w:firstLine="137"/>
        <w:jc w:val="center"/>
        <w:rPr>
          <w:rFonts w:hint="eastAsia" w:ascii="仿宋" w:hAnsi="仿宋" w:eastAsia="仿宋" w:cs="仿宋"/>
          <w:color w:val="auto"/>
          <w:highlight w:val="none"/>
          <w:lang w:eastAsia="zh-CN"/>
        </w:rPr>
      </w:pPr>
      <w:r>
        <w:rPr>
          <w:rFonts w:hint="eastAsia" w:ascii="仿宋" w:hAnsi="仿宋" w:eastAsia="仿宋" w:cs="仿宋"/>
          <w:color w:val="auto"/>
          <w:sz w:val="24"/>
          <w:szCs w:val="24"/>
          <w:highlight w:val="none"/>
          <w:lang w:val="en-US" w:eastAsia="zh-CN"/>
        </w:rPr>
        <w:t>格式自拟</w:t>
      </w:r>
    </w:p>
    <w:p w14:paraId="52695365">
      <w:pPr>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73375461">
      <w:pPr>
        <w:pStyle w:val="5"/>
        <w:spacing w:line="400" w:lineRule="exact"/>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七</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服务承诺</w:t>
      </w:r>
    </w:p>
    <w:p w14:paraId="3FCBC00E">
      <w:pPr>
        <w:rPr>
          <w:rFonts w:hint="eastAsia" w:ascii="仿宋" w:hAnsi="仿宋" w:eastAsia="仿宋" w:cs="仿宋"/>
          <w:color w:val="auto"/>
          <w:highlight w:val="none"/>
        </w:rPr>
      </w:pPr>
    </w:p>
    <w:p w14:paraId="72BDAAFB">
      <w:pPr>
        <w:pStyle w:val="3"/>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格式自拟</w:t>
      </w:r>
    </w:p>
    <w:p w14:paraId="317E59C5">
      <w:pP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br w:type="page"/>
      </w:r>
    </w:p>
    <w:p w14:paraId="3ED58A9C">
      <w:pPr>
        <w:pStyle w:val="5"/>
        <w:spacing w:line="400" w:lineRule="exact"/>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八</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其他资料</w:t>
      </w:r>
    </w:p>
    <w:p w14:paraId="754F2346">
      <w:pPr>
        <w:rPr>
          <w:rFonts w:hint="eastAsia" w:ascii="仿宋" w:hAnsi="仿宋" w:eastAsia="仿宋" w:cs="仿宋"/>
          <w:color w:val="auto"/>
          <w:highlight w:val="none"/>
        </w:rPr>
      </w:pPr>
    </w:p>
    <w:p w14:paraId="77C6BB5B">
      <w:pPr>
        <w:pStyle w:val="3"/>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（可不提供）</w:t>
      </w:r>
    </w:p>
    <w:sectPr>
      <w:type w:val="continuous"/>
      <w:pgSz w:w="12240" w:h="15840"/>
      <w:pgMar w:top="1440" w:right="1803" w:bottom="1440" w:left="1803" w:header="720" w:footer="720" w:gutter="0"/>
      <w:pgNumType w:fmt="decimal"/>
      <w:cols w:space="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Kingsoft UE">
    <w:panose1 w:val="02000100010000000000"/>
    <w:charset w:val="00"/>
    <w:family w:val="auto"/>
    <w:pitch w:val="default"/>
    <w:sig w:usb0="00000001" w:usb1="00004000" w:usb2="00000000" w:usb3="00000000" w:csb0="00000001" w:csb1="00000000"/>
  </w:font>
  <w:font w:name="MS PGothic">
    <w:panose1 w:val="020B0600070205080204"/>
    <w:charset w:val="80"/>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0503A">
    <w:pPr>
      <w:pStyle w:val="2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3DC556">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3DC556">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A3D">
    <w:pPr>
      <w:pStyle w:val="2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913668">
                          <w:pPr>
                            <w:pStyle w:val="21"/>
                            <w:jc w:val="center"/>
                          </w:pPr>
                          <w:r>
                            <w:fldChar w:fldCharType="begin"/>
                          </w:r>
                          <w:r>
                            <w:instrText xml:space="preserve"> PAGE   \* MERGEFORMAT </w:instrText>
                          </w:r>
                          <w:r>
                            <w:fldChar w:fldCharType="separate"/>
                          </w:r>
                          <w:r>
                            <w:rPr>
                              <w:lang w:val="zh-CN"/>
                            </w:rPr>
                            <w:t>1</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6913668">
                    <w:pPr>
                      <w:pStyle w:val="21"/>
                      <w:jc w:val="center"/>
                    </w:pPr>
                    <w:r>
                      <w:fldChar w:fldCharType="begin"/>
                    </w:r>
                    <w:r>
                      <w:instrText xml:space="preserve"> PAGE   \* MERGEFORMAT </w:instrText>
                    </w:r>
                    <w:r>
                      <w:fldChar w:fldCharType="separate"/>
                    </w:r>
                    <w:r>
                      <w:rPr>
                        <w:lang w:val="zh-CN"/>
                      </w:rPr>
                      <w:t>1</w:t>
                    </w:r>
                    <w:r>
                      <w:rPr>
                        <w:lang w:val="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3508CC"/>
    <w:multiLevelType w:val="singleLevel"/>
    <w:tmpl w:val="8A3508C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numFmt w:val="decimalEnclosedCircleChinese"/>
    <w:numRestart w:val="eachPage"/>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xZWY5YTRiNjUyOGY0NGQ4NjBlZDczYzUzYzRkOTYifQ=="/>
  </w:docVars>
  <w:rsids>
    <w:rsidRoot w:val="00172A27"/>
    <w:rsid w:val="00000DA4"/>
    <w:rsid w:val="00002A60"/>
    <w:rsid w:val="00003391"/>
    <w:rsid w:val="00004603"/>
    <w:rsid w:val="000049FE"/>
    <w:rsid w:val="00007319"/>
    <w:rsid w:val="000106AE"/>
    <w:rsid w:val="00010B53"/>
    <w:rsid w:val="0001111F"/>
    <w:rsid w:val="00011B6F"/>
    <w:rsid w:val="00011F85"/>
    <w:rsid w:val="000122C9"/>
    <w:rsid w:val="00012703"/>
    <w:rsid w:val="0001485E"/>
    <w:rsid w:val="00014D4E"/>
    <w:rsid w:val="0002193F"/>
    <w:rsid w:val="00021BFE"/>
    <w:rsid w:val="0002369F"/>
    <w:rsid w:val="000250D6"/>
    <w:rsid w:val="00025ACC"/>
    <w:rsid w:val="00025EC4"/>
    <w:rsid w:val="00026171"/>
    <w:rsid w:val="00027C97"/>
    <w:rsid w:val="000303E1"/>
    <w:rsid w:val="000317DA"/>
    <w:rsid w:val="00033C1C"/>
    <w:rsid w:val="000351AE"/>
    <w:rsid w:val="000352F4"/>
    <w:rsid w:val="00036515"/>
    <w:rsid w:val="00036A67"/>
    <w:rsid w:val="00043778"/>
    <w:rsid w:val="00043A3B"/>
    <w:rsid w:val="000442E6"/>
    <w:rsid w:val="000465F5"/>
    <w:rsid w:val="00046F0D"/>
    <w:rsid w:val="000477B3"/>
    <w:rsid w:val="0004782B"/>
    <w:rsid w:val="00050340"/>
    <w:rsid w:val="00050D09"/>
    <w:rsid w:val="00051718"/>
    <w:rsid w:val="00051E22"/>
    <w:rsid w:val="000533D5"/>
    <w:rsid w:val="00054896"/>
    <w:rsid w:val="00056461"/>
    <w:rsid w:val="00056867"/>
    <w:rsid w:val="00060236"/>
    <w:rsid w:val="00062AC6"/>
    <w:rsid w:val="00062E7E"/>
    <w:rsid w:val="00067035"/>
    <w:rsid w:val="0007092F"/>
    <w:rsid w:val="00071FA8"/>
    <w:rsid w:val="0007517C"/>
    <w:rsid w:val="0008132B"/>
    <w:rsid w:val="00081360"/>
    <w:rsid w:val="0008253E"/>
    <w:rsid w:val="00083B57"/>
    <w:rsid w:val="00083EA3"/>
    <w:rsid w:val="000841EF"/>
    <w:rsid w:val="000846D4"/>
    <w:rsid w:val="00086570"/>
    <w:rsid w:val="000943B0"/>
    <w:rsid w:val="000945DD"/>
    <w:rsid w:val="00094C66"/>
    <w:rsid w:val="00094FFC"/>
    <w:rsid w:val="000956C5"/>
    <w:rsid w:val="0009599B"/>
    <w:rsid w:val="000A1201"/>
    <w:rsid w:val="000A1391"/>
    <w:rsid w:val="000A287B"/>
    <w:rsid w:val="000A2A1A"/>
    <w:rsid w:val="000A5C81"/>
    <w:rsid w:val="000A6F04"/>
    <w:rsid w:val="000A7438"/>
    <w:rsid w:val="000A76B3"/>
    <w:rsid w:val="000B2017"/>
    <w:rsid w:val="000B308D"/>
    <w:rsid w:val="000B37D6"/>
    <w:rsid w:val="000B6297"/>
    <w:rsid w:val="000B65E2"/>
    <w:rsid w:val="000B7A8D"/>
    <w:rsid w:val="000C0018"/>
    <w:rsid w:val="000C00CE"/>
    <w:rsid w:val="000C0819"/>
    <w:rsid w:val="000C1A9B"/>
    <w:rsid w:val="000C2AB5"/>
    <w:rsid w:val="000C4710"/>
    <w:rsid w:val="000C5A9F"/>
    <w:rsid w:val="000D174A"/>
    <w:rsid w:val="000D3A5C"/>
    <w:rsid w:val="000D4336"/>
    <w:rsid w:val="000D49B4"/>
    <w:rsid w:val="000D4E08"/>
    <w:rsid w:val="000D633A"/>
    <w:rsid w:val="000D6BE3"/>
    <w:rsid w:val="000E08CB"/>
    <w:rsid w:val="000E0C9F"/>
    <w:rsid w:val="000E1388"/>
    <w:rsid w:val="000E5673"/>
    <w:rsid w:val="000F2186"/>
    <w:rsid w:val="000F2A12"/>
    <w:rsid w:val="000F2ECC"/>
    <w:rsid w:val="000F50B4"/>
    <w:rsid w:val="000F6666"/>
    <w:rsid w:val="001001A3"/>
    <w:rsid w:val="001011FC"/>
    <w:rsid w:val="00102618"/>
    <w:rsid w:val="00105423"/>
    <w:rsid w:val="00105B4A"/>
    <w:rsid w:val="00107C36"/>
    <w:rsid w:val="001119B6"/>
    <w:rsid w:val="00111D77"/>
    <w:rsid w:val="00114EFC"/>
    <w:rsid w:val="00115124"/>
    <w:rsid w:val="00115848"/>
    <w:rsid w:val="0011701D"/>
    <w:rsid w:val="00117443"/>
    <w:rsid w:val="00117F0F"/>
    <w:rsid w:val="001243AF"/>
    <w:rsid w:val="00126A2D"/>
    <w:rsid w:val="00130D79"/>
    <w:rsid w:val="0013146C"/>
    <w:rsid w:val="001351ED"/>
    <w:rsid w:val="0014098E"/>
    <w:rsid w:val="00143135"/>
    <w:rsid w:val="001528CC"/>
    <w:rsid w:val="001530C6"/>
    <w:rsid w:val="00153B32"/>
    <w:rsid w:val="0015590F"/>
    <w:rsid w:val="0016040A"/>
    <w:rsid w:val="001605AA"/>
    <w:rsid w:val="001613DD"/>
    <w:rsid w:val="001618B1"/>
    <w:rsid w:val="001658EF"/>
    <w:rsid w:val="00166088"/>
    <w:rsid w:val="00172A27"/>
    <w:rsid w:val="001735B4"/>
    <w:rsid w:val="00173EF7"/>
    <w:rsid w:val="001748A3"/>
    <w:rsid w:val="00175F7A"/>
    <w:rsid w:val="00180101"/>
    <w:rsid w:val="00182B11"/>
    <w:rsid w:val="00183B4A"/>
    <w:rsid w:val="00184453"/>
    <w:rsid w:val="00184D80"/>
    <w:rsid w:val="00185763"/>
    <w:rsid w:val="00192979"/>
    <w:rsid w:val="00193C1D"/>
    <w:rsid w:val="00195B7E"/>
    <w:rsid w:val="001964D2"/>
    <w:rsid w:val="00196869"/>
    <w:rsid w:val="0019797B"/>
    <w:rsid w:val="00197AD8"/>
    <w:rsid w:val="001A093D"/>
    <w:rsid w:val="001A0CCF"/>
    <w:rsid w:val="001A1AF1"/>
    <w:rsid w:val="001A2B51"/>
    <w:rsid w:val="001A2E05"/>
    <w:rsid w:val="001A2F7E"/>
    <w:rsid w:val="001A4491"/>
    <w:rsid w:val="001A4684"/>
    <w:rsid w:val="001B10BD"/>
    <w:rsid w:val="001B7FEF"/>
    <w:rsid w:val="001C06B6"/>
    <w:rsid w:val="001C298A"/>
    <w:rsid w:val="001C30C7"/>
    <w:rsid w:val="001C38D5"/>
    <w:rsid w:val="001C3F83"/>
    <w:rsid w:val="001C47DE"/>
    <w:rsid w:val="001C6230"/>
    <w:rsid w:val="001C7366"/>
    <w:rsid w:val="001D055E"/>
    <w:rsid w:val="001D1D28"/>
    <w:rsid w:val="001D4A29"/>
    <w:rsid w:val="001E1433"/>
    <w:rsid w:val="001E2D03"/>
    <w:rsid w:val="001E48A1"/>
    <w:rsid w:val="001E6637"/>
    <w:rsid w:val="001F2208"/>
    <w:rsid w:val="001F4134"/>
    <w:rsid w:val="001F45EE"/>
    <w:rsid w:val="001F4850"/>
    <w:rsid w:val="001F5634"/>
    <w:rsid w:val="001F5A6B"/>
    <w:rsid w:val="00200B25"/>
    <w:rsid w:val="0020220D"/>
    <w:rsid w:val="00204259"/>
    <w:rsid w:val="00204A5C"/>
    <w:rsid w:val="0020605E"/>
    <w:rsid w:val="00206463"/>
    <w:rsid w:val="00207A0B"/>
    <w:rsid w:val="00211842"/>
    <w:rsid w:val="00212A53"/>
    <w:rsid w:val="0021322F"/>
    <w:rsid w:val="00213B90"/>
    <w:rsid w:val="00215765"/>
    <w:rsid w:val="00215AF0"/>
    <w:rsid w:val="00215D24"/>
    <w:rsid w:val="00217AB9"/>
    <w:rsid w:val="0022140E"/>
    <w:rsid w:val="002229E2"/>
    <w:rsid w:val="0022434B"/>
    <w:rsid w:val="002256F6"/>
    <w:rsid w:val="00227E7E"/>
    <w:rsid w:val="00230081"/>
    <w:rsid w:val="00232CDE"/>
    <w:rsid w:val="0023423F"/>
    <w:rsid w:val="002346AC"/>
    <w:rsid w:val="0023579F"/>
    <w:rsid w:val="002360E7"/>
    <w:rsid w:val="00236570"/>
    <w:rsid w:val="00237422"/>
    <w:rsid w:val="00237B0E"/>
    <w:rsid w:val="00240884"/>
    <w:rsid w:val="00241EE0"/>
    <w:rsid w:val="002430C2"/>
    <w:rsid w:val="0024468E"/>
    <w:rsid w:val="00250519"/>
    <w:rsid w:val="00251109"/>
    <w:rsid w:val="00251A49"/>
    <w:rsid w:val="002524EF"/>
    <w:rsid w:val="0025460A"/>
    <w:rsid w:val="00255C9B"/>
    <w:rsid w:val="00255D0D"/>
    <w:rsid w:val="00256F42"/>
    <w:rsid w:val="0026045C"/>
    <w:rsid w:val="00260650"/>
    <w:rsid w:val="00260B7B"/>
    <w:rsid w:val="00260C77"/>
    <w:rsid w:val="00261352"/>
    <w:rsid w:val="002617D5"/>
    <w:rsid w:val="00263947"/>
    <w:rsid w:val="00263F0B"/>
    <w:rsid w:val="00264CEC"/>
    <w:rsid w:val="00264E3B"/>
    <w:rsid w:val="00264EB1"/>
    <w:rsid w:val="0026524D"/>
    <w:rsid w:val="00265A8B"/>
    <w:rsid w:val="002707AB"/>
    <w:rsid w:val="0027148F"/>
    <w:rsid w:val="002718DC"/>
    <w:rsid w:val="002733D4"/>
    <w:rsid w:val="00273E0A"/>
    <w:rsid w:val="002751CF"/>
    <w:rsid w:val="00276C71"/>
    <w:rsid w:val="0027764B"/>
    <w:rsid w:val="00281526"/>
    <w:rsid w:val="00281E0E"/>
    <w:rsid w:val="00282FB1"/>
    <w:rsid w:val="00285406"/>
    <w:rsid w:val="00285F17"/>
    <w:rsid w:val="00286C1A"/>
    <w:rsid w:val="00287666"/>
    <w:rsid w:val="00291BE9"/>
    <w:rsid w:val="0029287A"/>
    <w:rsid w:val="00294405"/>
    <w:rsid w:val="002A1233"/>
    <w:rsid w:val="002A552C"/>
    <w:rsid w:val="002A65ED"/>
    <w:rsid w:val="002B0537"/>
    <w:rsid w:val="002B2D21"/>
    <w:rsid w:val="002B7AC0"/>
    <w:rsid w:val="002C0C29"/>
    <w:rsid w:val="002C4B9C"/>
    <w:rsid w:val="002C51BB"/>
    <w:rsid w:val="002C688F"/>
    <w:rsid w:val="002C7B9B"/>
    <w:rsid w:val="002D2B90"/>
    <w:rsid w:val="002D3451"/>
    <w:rsid w:val="002D458D"/>
    <w:rsid w:val="002D6F32"/>
    <w:rsid w:val="002E0561"/>
    <w:rsid w:val="002E146B"/>
    <w:rsid w:val="002E1DAC"/>
    <w:rsid w:val="002E357F"/>
    <w:rsid w:val="002E37E9"/>
    <w:rsid w:val="002E602B"/>
    <w:rsid w:val="002E6D05"/>
    <w:rsid w:val="002F0F43"/>
    <w:rsid w:val="002F1898"/>
    <w:rsid w:val="002F1EE0"/>
    <w:rsid w:val="002F4E05"/>
    <w:rsid w:val="002F72A0"/>
    <w:rsid w:val="00302940"/>
    <w:rsid w:val="00303961"/>
    <w:rsid w:val="0030445C"/>
    <w:rsid w:val="00305F01"/>
    <w:rsid w:val="00306D86"/>
    <w:rsid w:val="00307657"/>
    <w:rsid w:val="003076D1"/>
    <w:rsid w:val="0031111C"/>
    <w:rsid w:val="00311324"/>
    <w:rsid w:val="00311D51"/>
    <w:rsid w:val="003122C4"/>
    <w:rsid w:val="00312B95"/>
    <w:rsid w:val="00314103"/>
    <w:rsid w:val="003147FA"/>
    <w:rsid w:val="00314C76"/>
    <w:rsid w:val="00316F8B"/>
    <w:rsid w:val="00317712"/>
    <w:rsid w:val="0032031D"/>
    <w:rsid w:val="00320467"/>
    <w:rsid w:val="00321647"/>
    <w:rsid w:val="00321989"/>
    <w:rsid w:val="003243EC"/>
    <w:rsid w:val="003247CD"/>
    <w:rsid w:val="003254CF"/>
    <w:rsid w:val="00330A66"/>
    <w:rsid w:val="00332F9A"/>
    <w:rsid w:val="00335C80"/>
    <w:rsid w:val="003362AD"/>
    <w:rsid w:val="003369D4"/>
    <w:rsid w:val="0033761D"/>
    <w:rsid w:val="00337CAE"/>
    <w:rsid w:val="00341528"/>
    <w:rsid w:val="00342688"/>
    <w:rsid w:val="0034440E"/>
    <w:rsid w:val="003447B0"/>
    <w:rsid w:val="00345CFE"/>
    <w:rsid w:val="003467E6"/>
    <w:rsid w:val="00347899"/>
    <w:rsid w:val="003478BA"/>
    <w:rsid w:val="003518D6"/>
    <w:rsid w:val="003533B0"/>
    <w:rsid w:val="00354B7A"/>
    <w:rsid w:val="00360B10"/>
    <w:rsid w:val="00360D54"/>
    <w:rsid w:val="00361C71"/>
    <w:rsid w:val="0036214F"/>
    <w:rsid w:val="003628CD"/>
    <w:rsid w:val="00363177"/>
    <w:rsid w:val="00363966"/>
    <w:rsid w:val="00365EDA"/>
    <w:rsid w:val="00366867"/>
    <w:rsid w:val="00372BB2"/>
    <w:rsid w:val="00373178"/>
    <w:rsid w:val="00373AAA"/>
    <w:rsid w:val="003741B0"/>
    <w:rsid w:val="00375DD7"/>
    <w:rsid w:val="0038072B"/>
    <w:rsid w:val="0038240C"/>
    <w:rsid w:val="0038359A"/>
    <w:rsid w:val="003839BF"/>
    <w:rsid w:val="0038704D"/>
    <w:rsid w:val="003876BB"/>
    <w:rsid w:val="00387996"/>
    <w:rsid w:val="00390CD0"/>
    <w:rsid w:val="00391F03"/>
    <w:rsid w:val="0039343C"/>
    <w:rsid w:val="003A0068"/>
    <w:rsid w:val="003A2368"/>
    <w:rsid w:val="003A3829"/>
    <w:rsid w:val="003A3F98"/>
    <w:rsid w:val="003A563B"/>
    <w:rsid w:val="003A5B10"/>
    <w:rsid w:val="003A6775"/>
    <w:rsid w:val="003B2B82"/>
    <w:rsid w:val="003B3719"/>
    <w:rsid w:val="003B41C4"/>
    <w:rsid w:val="003B7DD1"/>
    <w:rsid w:val="003C0704"/>
    <w:rsid w:val="003C0D7D"/>
    <w:rsid w:val="003C163E"/>
    <w:rsid w:val="003C3469"/>
    <w:rsid w:val="003C4858"/>
    <w:rsid w:val="003C5BB3"/>
    <w:rsid w:val="003C5EED"/>
    <w:rsid w:val="003C663D"/>
    <w:rsid w:val="003C7688"/>
    <w:rsid w:val="003D1170"/>
    <w:rsid w:val="003D1B8E"/>
    <w:rsid w:val="003D2D72"/>
    <w:rsid w:val="003D36EE"/>
    <w:rsid w:val="003D515C"/>
    <w:rsid w:val="003D6E0A"/>
    <w:rsid w:val="003D6EB6"/>
    <w:rsid w:val="003E114D"/>
    <w:rsid w:val="003E5347"/>
    <w:rsid w:val="003F18FD"/>
    <w:rsid w:val="003F1CDB"/>
    <w:rsid w:val="003F1FBD"/>
    <w:rsid w:val="003F3518"/>
    <w:rsid w:val="003F504F"/>
    <w:rsid w:val="003F5B69"/>
    <w:rsid w:val="004006C9"/>
    <w:rsid w:val="004009FD"/>
    <w:rsid w:val="00403934"/>
    <w:rsid w:val="004062B6"/>
    <w:rsid w:val="004105EF"/>
    <w:rsid w:val="0041115C"/>
    <w:rsid w:val="00411574"/>
    <w:rsid w:val="00412501"/>
    <w:rsid w:val="004125A8"/>
    <w:rsid w:val="004138B6"/>
    <w:rsid w:val="00413A55"/>
    <w:rsid w:val="00415A1A"/>
    <w:rsid w:val="0042017A"/>
    <w:rsid w:val="0042326A"/>
    <w:rsid w:val="00423F96"/>
    <w:rsid w:val="0042619D"/>
    <w:rsid w:val="00427AD3"/>
    <w:rsid w:val="00430583"/>
    <w:rsid w:val="004315A2"/>
    <w:rsid w:val="00431F4F"/>
    <w:rsid w:val="0043351E"/>
    <w:rsid w:val="00433676"/>
    <w:rsid w:val="004343BE"/>
    <w:rsid w:val="00435EFF"/>
    <w:rsid w:val="00436504"/>
    <w:rsid w:val="00436C0E"/>
    <w:rsid w:val="004405C7"/>
    <w:rsid w:val="00441D39"/>
    <w:rsid w:val="0044250A"/>
    <w:rsid w:val="00442AF8"/>
    <w:rsid w:val="00445120"/>
    <w:rsid w:val="0044514A"/>
    <w:rsid w:val="00447E59"/>
    <w:rsid w:val="00450DB7"/>
    <w:rsid w:val="00452F57"/>
    <w:rsid w:val="00455668"/>
    <w:rsid w:val="004575C8"/>
    <w:rsid w:val="004579D9"/>
    <w:rsid w:val="00457DC2"/>
    <w:rsid w:val="0046206C"/>
    <w:rsid w:val="00464927"/>
    <w:rsid w:val="00465378"/>
    <w:rsid w:val="00466A71"/>
    <w:rsid w:val="00466C94"/>
    <w:rsid w:val="00467CC6"/>
    <w:rsid w:val="004733D3"/>
    <w:rsid w:val="0047355E"/>
    <w:rsid w:val="00473597"/>
    <w:rsid w:val="00473AAF"/>
    <w:rsid w:val="0048596D"/>
    <w:rsid w:val="00486461"/>
    <w:rsid w:val="00487315"/>
    <w:rsid w:val="004903F0"/>
    <w:rsid w:val="004910DF"/>
    <w:rsid w:val="00491CF8"/>
    <w:rsid w:val="00493F74"/>
    <w:rsid w:val="00494624"/>
    <w:rsid w:val="00495001"/>
    <w:rsid w:val="004958B6"/>
    <w:rsid w:val="00496A7E"/>
    <w:rsid w:val="00497371"/>
    <w:rsid w:val="004A112E"/>
    <w:rsid w:val="004A197D"/>
    <w:rsid w:val="004A221E"/>
    <w:rsid w:val="004A3F85"/>
    <w:rsid w:val="004A4145"/>
    <w:rsid w:val="004A4276"/>
    <w:rsid w:val="004A43F1"/>
    <w:rsid w:val="004A4A09"/>
    <w:rsid w:val="004A508E"/>
    <w:rsid w:val="004A5FF2"/>
    <w:rsid w:val="004A70D5"/>
    <w:rsid w:val="004A76F2"/>
    <w:rsid w:val="004B220E"/>
    <w:rsid w:val="004B3390"/>
    <w:rsid w:val="004B3B55"/>
    <w:rsid w:val="004B3E29"/>
    <w:rsid w:val="004B51E3"/>
    <w:rsid w:val="004B54E7"/>
    <w:rsid w:val="004B6ED7"/>
    <w:rsid w:val="004C16FA"/>
    <w:rsid w:val="004C3F9A"/>
    <w:rsid w:val="004C5020"/>
    <w:rsid w:val="004D0A15"/>
    <w:rsid w:val="004D0A89"/>
    <w:rsid w:val="004D1209"/>
    <w:rsid w:val="004D1CC7"/>
    <w:rsid w:val="004D1D26"/>
    <w:rsid w:val="004D3A49"/>
    <w:rsid w:val="004D4247"/>
    <w:rsid w:val="004D4F12"/>
    <w:rsid w:val="004D5623"/>
    <w:rsid w:val="004D7237"/>
    <w:rsid w:val="004D794D"/>
    <w:rsid w:val="004D7FCB"/>
    <w:rsid w:val="004E0C05"/>
    <w:rsid w:val="004E15C6"/>
    <w:rsid w:val="004E3473"/>
    <w:rsid w:val="004E54EB"/>
    <w:rsid w:val="004E78F5"/>
    <w:rsid w:val="004F0DB1"/>
    <w:rsid w:val="004F1425"/>
    <w:rsid w:val="004F20F0"/>
    <w:rsid w:val="004F278C"/>
    <w:rsid w:val="004F3309"/>
    <w:rsid w:val="004F39F7"/>
    <w:rsid w:val="005034E3"/>
    <w:rsid w:val="00503AB0"/>
    <w:rsid w:val="0050739A"/>
    <w:rsid w:val="00507F25"/>
    <w:rsid w:val="005100DC"/>
    <w:rsid w:val="00511660"/>
    <w:rsid w:val="00512A0D"/>
    <w:rsid w:val="00513F69"/>
    <w:rsid w:val="0051560B"/>
    <w:rsid w:val="00517A67"/>
    <w:rsid w:val="00517CCE"/>
    <w:rsid w:val="005212F7"/>
    <w:rsid w:val="0052194C"/>
    <w:rsid w:val="005229A0"/>
    <w:rsid w:val="00522D50"/>
    <w:rsid w:val="00524932"/>
    <w:rsid w:val="005251E7"/>
    <w:rsid w:val="00525E12"/>
    <w:rsid w:val="005272C3"/>
    <w:rsid w:val="005275D1"/>
    <w:rsid w:val="00527D92"/>
    <w:rsid w:val="00531AB3"/>
    <w:rsid w:val="00531BAF"/>
    <w:rsid w:val="00535573"/>
    <w:rsid w:val="00537234"/>
    <w:rsid w:val="00537781"/>
    <w:rsid w:val="005409DB"/>
    <w:rsid w:val="00540FB3"/>
    <w:rsid w:val="00542C62"/>
    <w:rsid w:val="00543007"/>
    <w:rsid w:val="00543076"/>
    <w:rsid w:val="00543F5F"/>
    <w:rsid w:val="00545698"/>
    <w:rsid w:val="00546149"/>
    <w:rsid w:val="0054730C"/>
    <w:rsid w:val="00547432"/>
    <w:rsid w:val="0055408A"/>
    <w:rsid w:val="00554AC7"/>
    <w:rsid w:val="00555089"/>
    <w:rsid w:val="005559D5"/>
    <w:rsid w:val="005565F1"/>
    <w:rsid w:val="00562259"/>
    <w:rsid w:val="005655BD"/>
    <w:rsid w:val="00565E6F"/>
    <w:rsid w:val="005661E1"/>
    <w:rsid w:val="00566E24"/>
    <w:rsid w:val="00570D4B"/>
    <w:rsid w:val="00571501"/>
    <w:rsid w:val="005723AB"/>
    <w:rsid w:val="00573B46"/>
    <w:rsid w:val="00573C8F"/>
    <w:rsid w:val="00574404"/>
    <w:rsid w:val="005745E0"/>
    <w:rsid w:val="00574712"/>
    <w:rsid w:val="00574F99"/>
    <w:rsid w:val="005754C4"/>
    <w:rsid w:val="00576B7B"/>
    <w:rsid w:val="00576C5E"/>
    <w:rsid w:val="00577C17"/>
    <w:rsid w:val="005804CC"/>
    <w:rsid w:val="00580957"/>
    <w:rsid w:val="005810F1"/>
    <w:rsid w:val="00581289"/>
    <w:rsid w:val="005817BC"/>
    <w:rsid w:val="005818B8"/>
    <w:rsid w:val="005824FB"/>
    <w:rsid w:val="00585BA6"/>
    <w:rsid w:val="00586955"/>
    <w:rsid w:val="005870EB"/>
    <w:rsid w:val="00587762"/>
    <w:rsid w:val="00592807"/>
    <w:rsid w:val="00592DCF"/>
    <w:rsid w:val="005955BA"/>
    <w:rsid w:val="00595FA0"/>
    <w:rsid w:val="00597C80"/>
    <w:rsid w:val="005A0B59"/>
    <w:rsid w:val="005A1CDE"/>
    <w:rsid w:val="005A212B"/>
    <w:rsid w:val="005A245A"/>
    <w:rsid w:val="005A2853"/>
    <w:rsid w:val="005A2C7B"/>
    <w:rsid w:val="005A3157"/>
    <w:rsid w:val="005A324A"/>
    <w:rsid w:val="005A7856"/>
    <w:rsid w:val="005B0F9A"/>
    <w:rsid w:val="005B1A42"/>
    <w:rsid w:val="005B27B2"/>
    <w:rsid w:val="005B3BBE"/>
    <w:rsid w:val="005B41F9"/>
    <w:rsid w:val="005B4DB1"/>
    <w:rsid w:val="005B53B5"/>
    <w:rsid w:val="005C162E"/>
    <w:rsid w:val="005C3294"/>
    <w:rsid w:val="005C417A"/>
    <w:rsid w:val="005C5030"/>
    <w:rsid w:val="005C54CF"/>
    <w:rsid w:val="005C7CC7"/>
    <w:rsid w:val="005D22FC"/>
    <w:rsid w:val="005D3D41"/>
    <w:rsid w:val="005D736F"/>
    <w:rsid w:val="005E018D"/>
    <w:rsid w:val="005E0827"/>
    <w:rsid w:val="005E15D1"/>
    <w:rsid w:val="005E4F70"/>
    <w:rsid w:val="005E52D1"/>
    <w:rsid w:val="005E6CD5"/>
    <w:rsid w:val="005E7962"/>
    <w:rsid w:val="005E7CE8"/>
    <w:rsid w:val="005E7EC7"/>
    <w:rsid w:val="005F162E"/>
    <w:rsid w:val="005F16C3"/>
    <w:rsid w:val="005F1B58"/>
    <w:rsid w:val="005F328B"/>
    <w:rsid w:val="005F3D2C"/>
    <w:rsid w:val="005F74F3"/>
    <w:rsid w:val="006041C3"/>
    <w:rsid w:val="006052FC"/>
    <w:rsid w:val="00605403"/>
    <w:rsid w:val="00605A28"/>
    <w:rsid w:val="00607629"/>
    <w:rsid w:val="00610BBF"/>
    <w:rsid w:val="006127AC"/>
    <w:rsid w:val="00613672"/>
    <w:rsid w:val="00613FB5"/>
    <w:rsid w:val="00614E98"/>
    <w:rsid w:val="00614EBD"/>
    <w:rsid w:val="006178D6"/>
    <w:rsid w:val="00620B9C"/>
    <w:rsid w:val="0062295C"/>
    <w:rsid w:val="0062323D"/>
    <w:rsid w:val="00623AD2"/>
    <w:rsid w:val="00623F73"/>
    <w:rsid w:val="006240AB"/>
    <w:rsid w:val="00627446"/>
    <w:rsid w:val="006300EA"/>
    <w:rsid w:val="00632B51"/>
    <w:rsid w:val="00633021"/>
    <w:rsid w:val="0063584F"/>
    <w:rsid w:val="00636962"/>
    <w:rsid w:val="00637781"/>
    <w:rsid w:val="00641920"/>
    <w:rsid w:val="00643B4D"/>
    <w:rsid w:val="00644C71"/>
    <w:rsid w:val="006462FA"/>
    <w:rsid w:val="006512A9"/>
    <w:rsid w:val="00651D65"/>
    <w:rsid w:val="00653F33"/>
    <w:rsid w:val="0065401F"/>
    <w:rsid w:val="00654756"/>
    <w:rsid w:val="0065767F"/>
    <w:rsid w:val="00660EBB"/>
    <w:rsid w:val="0066206B"/>
    <w:rsid w:val="00663CC5"/>
    <w:rsid w:val="00667942"/>
    <w:rsid w:val="00670660"/>
    <w:rsid w:val="006811B0"/>
    <w:rsid w:val="0068471E"/>
    <w:rsid w:val="00684D69"/>
    <w:rsid w:val="006857AD"/>
    <w:rsid w:val="00686AF3"/>
    <w:rsid w:val="00691F97"/>
    <w:rsid w:val="006928F3"/>
    <w:rsid w:val="00692DCA"/>
    <w:rsid w:val="006952F5"/>
    <w:rsid w:val="006A2E04"/>
    <w:rsid w:val="006A2F51"/>
    <w:rsid w:val="006A350C"/>
    <w:rsid w:val="006A5596"/>
    <w:rsid w:val="006B15E6"/>
    <w:rsid w:val="006B2167"/>
    <w:rsid w:val="006B229A"/>
    <w:rsid w:val="006B268E"/>
    <w:rsid w:val="006B317B"/>
    <w:rsid w:val="006B4620"/>
    <w:rsid w:val="006B58FD"/>
    <w:rsid w:val="006C05AD"/>
    <w:rsid w:val="006C1B42"/>
    <w:rsid w:val="006C2F62"/>
    <w:rsid w:val="006C45C7"/>
    <w:rsid w:val="006C5495"/>
    <w:rsid w:val="006C56C9"/>
    <w:rsid w:val="006D05E4"/>
    <w:rsid w:val="006D144F"/>
    <w:rsid w:val="006D4C52"/>
    <w:rsid w:val="006D567B"/>
    <w:rsid w:val="006D6D79"/>
    <w:rsid w:val="006E0B76"/>
    <w:rsid w:val="006E1A78"/>
    <w:rsid w:val="006E1CF0"/>
    <w:rsid w:val="006E2EB3"/>
    <w:rsid w:val="006E3EAB"/>
    <w:rsid w:val="006E4938"/>
    <w:rsid w:val="006E521B"/>
    <w:rsid w:val="006E5AC6"/>
    <w:rsid w:val="006E7789"/>
    <w:rsid w:val="006F2BB0"/>
    <w:rsid w:val="006F2EC0"/>
    <w:rsid w:val="006F30B4"/>
    <w:rsid w:val="006F3939"/>
    <w:rsid w:val="006F4607"/>
    <w:rsid w:val="006F46C3"/>
    <w:rsid w:val="006F5FB8"/>
    <w:rsid w:val="006F6CD6"/>
    <w:rsid w:val="006F6E12"/>
    <w:rsid w:val="00700762"/>
    <w:rsid w:val="00701A84"/>
    <w:rsid w:val="00705859"/>
    <w:rsid w:val="007058F5"/>
    <w:rsid w:val="00706041"/>
    <w:rsid w:val="00710D6C"/>
    <w:rsid w:val="00710D93"/>
    <w:rsid w:val="007123AF"/>
    <w:rsid w:val="00712A96"/>
    <w:rsid w:val="00716EE4"/>
    <w:rsid w:val="00721056"/>
    <w:rsid w:val="00722CDE"/>
    <w:rsid w:val="00722E71"/>
    <w:rsid w:val="00723AEF"/>
    <w:rsid w:val="00725C94"/>
    <w:rsid w:val="00725F00"/>
    <w:rsid w:val="00726A6C"/>
    <w:rsid w:val="00726B23"/>
    <w:rsid w:val="00726C76"/>
    <w:rsid w:val="00726DB7"/>
    <w:rsid w:val="00727E29"/>
    <w:rsid w:val="0073232D"/>
    <w:rsid w:val="00733083"/>
    <w:rsid w:val="007356EB"/>
    <w:rsid w:val="00735916"/>
    <w:rsid w:val="00740AE9"/>
    <w:rsid w:val="00742B21"/>
    <w:rsid w:val="00744517"/>
    <w:rsid w:val="007476CC"/>
    <w:rsid w:val="00750137"/>
    <w:rsid w:val="0075115C"/>
    <w:rsid w:val="007516C9"/>
    <w:rsid w:val="00752100"/>
    <w:rsid w:val="007538E9"/>
    <w:rsid w:val="00753921"/>
    <w:rsid w:val="00755157"/>
    <w:rsid w:val="007569B0"/>
    <w:rsid w:val="007604C3"/>
    <w:rsid w:val="0076115D"/>
    <w:rsid w:val="00762C99"/>
    <w:rsid w:val="00766147"/>
    <w:rsid w:val="00766DD4"/>
    <w:rsid w:val="00767CF8"/>
    <w:rsid w:val="00770518"/>
    <w:rsid w:val="00770C01"/>
    <w:rsid w:val="00771522"/>
    <w:rsid w:val="00772282"/>
    <w:rsid w:val="0077236D"/>
    <w:rsid w:val="007724D2"/>
    <w:rsid w:val="00772E30"/>
    <w:rsid w:val="00774C3B"/>
    <w:rsid w:val="007769FC"/>
    <w:rsid w:val="00780470"/>
    <w:rsid w:val="0078343C"/>
    <w:rsid w:val="0078582F"/>
    <w:rsid w:val="00787834"/>
    <w:rsid w:val="00790A94"/>
    <w:rsid w:val="007911B2"/>
    <w:rsid w:val="00797ACE"/>
    <w:rsid w:val="007A08F7"/>
    <w:rsid w:val="007A1E5B"/>
    <w:rsid w:val="007A27B2"/>
    <w:rsid w:val="007A3441"/>
    <w:rsid w:val="007A36C9"/>
    <w:rsid w:val="007A3C01"/>
    <w:rsid w:val="007A5188"/>
    <w:rsid w:val="007A6247"/>
    <w:rsid w:val="007A6512"/>
    <w:rsid w:val="007A67FD"/>
    <w:rsid w:val="007B0A87"/>
    <w:rsid w:val="007B2210"/>
    <w:rsid w:val="007B300E"/>
    <w:rsid w:val="007B3D71"/>
    <w:rsid w:val="007B5213"/>
    <w:rsid w:val="007B7DDF"/>
    <w:rsid w:val="007C292F"/>
    <w:rsid w:val="007C2AB0"/>
    <w:rsid w:val="007C3124"/>
    <w:rsid w:val="007C5B73"/>
    <w:rsid w:val="007C5DF5"/>
    <w:rsid w:val="007D07A2"/>
    <w:rsid w:val="007D16DC"/>
    <w:rsid w:val="007D29C2"/>
    <w:rsid w:val="007D36E9"/>
    <w:rsid w:val="007D3AAE"/>
    <w:rsid w:val="007D4C26"/>
    <w:rsid w:val="007D5CBB"/>
    <w:rsid w:val="007D6572"/>
    <w:rsid w:val="007D6983"/>
    <w:rsid w:val="007E0563"/>
    <w:rsid w:val="007E1033"/>
    <w:rsid w:val="007E1153"/>
    <w:rsid w:val="007E129F"/>
    <w:rsid w:val="007E1F8D"/>
    <w:rsid w:val="007E6590"/>
    <w:rsid w:val="007E6F41"/>
    <w:rsid w:val="007E78FD"/>
    <w:rsid w:val="007F24FF"/>
    <w:rsid w:val="007F2D92"/>
    <w:rsid w:val="007F33A5"/>
    <w:rsid w:val="007F61D6"/>
    <w:rsid w:val="007F67B4"/>
    <w:rsid w:val="007F6A96"/>
    <w:rsid w:val="008009B4"/>
    <w:rsid w:val="008016DA"/>
    <w:rsid w:val="00801CAA"/>
    <w:rsid w:val="00802B3E"/>
    <w:rsid w:val="00803D1B"/>
    <w:rsid w:val="00804854"/>
    <w:rsid w:val="00805A2D"/>
    <w:rsid w:val="00805D01"/>
    <w:rsid w:val="00810606"/>
    <w:rsid w:val="00812D3A"/>
    <w:rsid w:val="008149E0"/>
    <w:rsid w:val="00814ACE"/>
    <w:rsid w:val="008208F6"/>
    <w:rsid w:val="00822B05"/>
    <w:rsid w:val="00823971"/>
    <w:rsid w:val="00825115"/>
    <w:rsid w:val="00825C0C"/>
    <w:rsid w:val="008261CA"/>
    <w:rsid w:val="00826534"/>
    <w:rsid w:val="00826C28"/>
    <w:rsid w:val="00827909"/>
    <w:rsid w:val="00833E5B"/>
    <w:rsid w:val="00833F8A"/>
    <w:rsid w:val="00834CBD"/>
    <w:rsid w:val="00835A0A"/>
    <w:rsid w:val="00835FA3"/>
    <w:rsid w:val="00836AA3"/>
    <w:rsid w:val="00836FCA"/>
    <w:rsid w:val="00842D0A"/>
    <w:rsid w:val="00843663"/>
    <w:rsid w:val="0084602F"/>
    <w:rsid w:val="00846D74"/>
    <w:rsid w:val="00847755"/>
    <w:rsid w:val="00851FB3"/>
    <w:rsid w:val="0085267C"/>
    <w:rsid w:val="0085280B"/>
    <w:rsid w:val="008567AE"/>
    <w:rsid w:val="008602E0"/>
    <w:rsid w:val="0086119A"/>
    <w:rsid w:val="00862274"/>
    <w:rsid w:val="008625DD"/>
    <w:rsid w:val="008631FE"/>
    <w:rsid w:val="008634A5"/>
    <w:rsid w:val="008656EF"/>
    <w:rsid w:val="008657D0"/>
    <w:rsid w:val="00865A18"/>
    <w:rsid w:val="00873670"/>
    <w:rsid w:val="00877B50"/>
    <w:rsid w:val="00880196"/>
    <w:rsid w:val="00880C4E"/>
    <w:rsid w:val="00883C18"/>
    <w:rsid w:val="00884003"/>
    <w:rsid w:val="00884568"/>
    <w:rsid w:val="00886D39"/>
    <w:rsid w:val="00891335"/>
    <w:rsid w:val="00893F10"/>
    <w:rsid w:val="008A0C4A"/>
    <w:rsid w:val="008A3781"/>
    <w:rsid w:val="008A4C9A"/>
    <w:rsid w:val="008A4F8A"/>
    <w:rsid w:val="008A55DC"/>
    <w:rsid w:val="008A6176"/>
    <w:rsid w:val="008A6265"/>
    <w:rsid w:val="008A6F43"/>
    <w:rsid w:val="008B0843"/>
    <w:rsid w:val="008B178C"/>
    <w:rsid w:val="008B256A"/>
    <w:rsid w:val="008B4537"/>
    <w:rsid w:val="008B4958"/>
    <w:rsid w:val="008B50BC"/>
    <w:rsid w:val="008B5F19"/>
    <w:rsid w:val="008B6D39"/>
    <w:rsid w:val="008C0F7D"/>
    <w:rsid w:val="008C11DF"/>
    <w:rsid w:val="008C1A6B"/>
    <w:rsid w:val="008C3C6E"/>
    <w:rsid w:val="008C4D93"/>
    <w:rsid w:val="008C5746"/>
    <w:rsid w:val="008C7711"/>
    <w:rsid w:val="008D03E3"/>
    <w:rsid w:val="008D085E"/>
    <w:rsid w:val="008D0EA5"/>
    <w:rsid w:val="008D185A"/>
    <w:rsid w:val="008D1879"/>
    <w:rsid w:val="008D2226"/>
    <w:rsid w:val="008D2B4F"/>
    <w:rsid w:val="008D34AF"/>
    <w:rsid w:val="008D51B7"/>
    <w:rsid w:val="008E0AE1"/>
    <w:rsid w:val="008E2CA5"/>
    <w:rsid w:val="008E3370"/>
    <w:rsid w:val="008E3A41"/>
    <w:rsid w:val="008E40E6"/>
    <w:rsid w:val="008F1666"/>
    <w:rsid w:val="008F25E1"/>
    <w:rsid w:val="008F2DB6"/>
    <w:rsid w:val="008F45C3"/>
    <w:rsid w:val="008F54C0"/>
    <w:rsid w:val="008F78BF"/>
    <w:rsid w:val="0090152F"/>
    <w:rsid w:val="00901B60"/>
    <w:rsid w:val="0090314C"/>
    <w:rsid w:val="009035B3"/>
    <w:rsid w:val="009045DE"/>
    <w:rsid w:val="00905830"/>
    <w:rsid w:val="00905AE6"/>
    <w:rsid w:val="00907E84"/>
    <w:rsid w:val="009102B1"/>
    <w:rsid w:val="0091348F"/>
    <w:rsid w:val="00913849"/>
    <w:rsid w:val="00913DA9"/>
    <w:rsid w:val="009143D6"/>
    <w:rsid w:val="0091575A"/>
    <w:rsid w:val="00915BD0"/>
    <w:rsid w:val="00915FD5"/>
    <w:rsid w:val="009165B6"/>
    <w:rsid w:val="00916B19"/>
    <w:rsid w:val="0091764F"/>
    <w:rsid w:val="00920176"/>
    <w:rsid w:val="00922D1D"/>
    <w:rsid w:val="00925712"/>
    <w:rsid w:val="0092577B"/>
    <w:rsid w:val="00926486"/>
    <w:rsid w:val="00926831"/>
    <w:rsid w:val="009303A2"/>
    <w:rsid w:val="00937163"/>
    <w:rsid w:val="00940482"/>
    <w:rsid w:val="00942FF5"/>
    <w:rsid w:val="00943B39"/>
    <w:rsid w:val="00943F58"/>
    <w:rsid w:val="0094443B"/>
    <w:rsid w:val="00946950"/>
    <w:rsid w:val="0094784E"/>
    <w:rsid w:val="00947882"/>
    <w:rsid w:val="0094793B"/>
    <w:rsid w:val="00953A9D"/>
    <w:rsid w:val="00953E62"/>
    <w:rsid w:val="009550FC"/>
    <w:rsid w:val="00956336"/>
    <w:rsid w:val="0095755C"/>
    <w:rsid w:val="00957C87"/>
    <w:rsid w:val="00961404"/>
    <w:rsid w:val="0096197F"/>
    <w:rsid w:val="00962079"/>
    <w:rsid w:val="0096341D"/>
    <w:rsid w:val="00964108"/>
    <w:rsid w:val="00964882"/>
    <w:rsid w:val="009678EF"/>
    <w:rsid w:val="009702C0"/>
    <w:rsid w:val="00972737"/>
    <w:rsid w:val="00972D10"/>
    <w:rsid w:val="00974E85"/>
    <w:rsid w:val="00975526"/>
    <w:rsid w:val="00976894"/>
    <w:rsid w:val="009773DB"/>
    <w:rsid w:val="00977F6D"/>
    <w:rsid w:val="0098013A"/>
    <w:rsid w:val="0098095B"/>
    <w:rsid w:val="00980CE5"/>
    <w:rsid w:val="00981293"/>
    <w:rsid w:val="009816BB"/>
    <w:rsid w:val="00982B42"/>
    <w:rsid w:val="00984168"/>
    <w:rsid w:val="0098473F"/>
    <w:rsid w:val="00986130"/>
    <w:rsid w:val="009875FE"/>
    <w:rsid w:val="00987946"/>
    <w:rsid w:val="00990C32"/>
    <w:rsid w:val="009914DB"/>
    <w:rsid w:val="00991717"/>
    <w:rsid w:val="009918C4"/>
    <w:rsid w:val="00993DD3"/>
    <w:rsid w:val="00993FD3"/>
    <w:rsid w:val="00996086"/>
    <w:rsid w:val="00996A73"/>
    <w:rsid w:val="00997308"/>
    <w:rsid w:val="0099765D"/>
    <w:rsid w:val="009A04D2"/>
    <w:rsid w:val="009A04D7"/>
    <w:rsid w:val="009A21F7"/>
    <w:rsid w:val="009A6828"/>
    <w:rsid w:val="009A72CB"/>
    <w:rsid w:val="009B0025"/>
    <w:rsid w:val="009B115E"/>
    <w:rsid w:val="009B1C5F"/>
    <w:rsid w:val="009B4909"/>
    <w:rsid w:val="009B499F"/>
    <w:rsid w:val="009B54E6"/>
    <w:rsid w:val="009B63E1"/>
    <w:rsid w:val="009B754A"/>
    <w:rsid w:val="009C221B"/>
    <w:rsid w:val="009C310C"/>
    <w:rsid w:val="009C3C41"/>
    <w:rsid w:val="009C42F0"/>
    <w:rsid w:val="009C5D2B"/>
    <w:rsid w:val="009C6B99"/>
    <w:rsid w:val="009C748E"/>
    <w:rsid w:val="009D0A6C"/>
    <w:rsid w:val="009D25BB"/>
    <w:rsid w:val="009D34B8"/>
    <w:rsid w:val="009D45AC"/>
    <w:rsid w:val="009D7C16"/>
    <w:rsid w:val="009E280D"/>
    <w:rsid w:val="009E28AB"/>
    <w:rsid w:val="009E2AE4"/>
    <w:rsid w:val="009E3F33"/>
    <w:rsid w:val="009E454B"/>
    <w:rsid w:val="009E62C3"/>
    <w:rsid w:val="009E77CE"/>
    <w:rsid w:val="009E7E61"/>
    <w:rsid w:val="009F0C48"/>
    <w:rsid w:val="009F1AC6"/>
    <w:rsid w:val="009F2126"/>
    <w:rsid w:val="009F3D52"/>
    <w:rsid w:val="009F4263"/>
    <w:rsid w:val="009F46DE"/>
    <w:rsid w:val="009F5B29"/>
    <w:rsid w:val="009F7053"/>
    <w:rsid w:val="009F7D47"/>
    <w:rsid w:val="009F7DC0"/>
    <w:rsid w:val="00A00218"/>
    <w:rsid w:val="00A01041"/>
    <w:rsid w:val="00A013E6"/>
    <w:rsid w:val="00A01431"/>
    <w:rsid w:val="00A02955"/>
    <w:rsid w:val="00A03B6C"/>
    <w:rsid w:val="00A059CF"/>
    <w:rsid w:val="00A12026"/>
    <w:rsid w:val="00A12434"/>
    <w:rsid w:val="00A12938"/>
    <w:rsid w:val="00A131B2"/>
    <w:rsid w:val="00A14792"/>
    <w:rsid w:val="00A161A9"/>
    <w:rsid w:val="00A20C87"/>
    <w:rsid w:val="00A214E6"/>
    <w:rsid w:val="00A22806"/>
    <w:rsid w:val="00A229B2"/>
    <w:rsid w:val="00A22A71"/>
    <w:rsid w:val="00A236AA"/>
    <w:rsid w:val="00A239C4"/>
    <w:rsid w:val="00A24AE5"/>
    <w:rsid w:val="00A257C6"/>
    <w:rsid w:val="00A27AD2"/>
    <w:rsid w:val="00A31FBE"/>
    <w:rsid w:val="00A32AD4"/>
    <w:rsid w:val="00A32B42"/>
    <w:rsid w:val="00A340CE"/>
    <w:rsid w:val="00A36636"/>
    <w:rsid w:val="00A41924"/>
    <w:rsid w:val="00A422AD"/>
    <w:rsid w:val="00A434EB"/>
    <w:rsid w:val="00A443E0"/>
    <w:rsid w:val="00A47CE5"/>
    <w:rsid w:val="00A50EF9"/>
    <w:rsid w:val="00A51D94"/>
    <w:rsid w:val="00A51DD3"/>
    <w:rsid w:val="00A540AC"/>
    <w:rsid w:val="00A55022"/>
    <w:rsid w:val="00A567AD"/>
    <w:rsid w:val="00A56829"/>
    <w:rsid w:val="00A61B79"/>
    <w:rsid w:val="00A64355"/>
    <w:rsid w:val="00A64CFB"/>
    <w:rsid w:val="00A660F9"/>
    <w:rsid w:val="00A67F0D"/>
    <w:rsid w:val="00A703A6"/>
    <w:rsid w:val="00A7108D"/>
    <w:rsid w:val="00A71821"/>
    <w:rsid w:val="00A7377F"/>
    <w:rsid w:val="00A7425C"/>
    <w:rsid w:val="00A744AE"/>
    <w:rsid w:val="00A75AAB"/>
    <w:rsid w:val="00A77C2A"/>
    <w:rsid w:val="00A811E4"/>
    <w:rsid w:val="00A8366F"/>
    <w:rsid w:val="00A83ACD"/>
    <w:rsid w:val="00A86BC1"/>
    <w:rsid w:val="00A87F39"/>
    <w:rsid w:val="00A909F4"/>
    <w:rsid w:val="00A90FFC"/>
    <w:rsid w:val="00A925B0"/>
    <w:rsid w:val="00A92FF7"/>
    <w:rsid w:val="00A939E3"/>
    <w:rsid w:val="00A93CEE"/>
    <w:rsid w:val="00A94F22"/>
    <w:rsid w:val="00A95B52"/>
    <w:rsid w:val="00A95DBF"/>
    <w:rsid w:val="00A97ECB"/>
    <w:rsid w:val="00AA3B58"/>
    <w:rsid w:val="00AA5687"/>
    <w:rsid w:val="00AA77E6"/>
    <w:rsid w:val="00AB22FD"/>
    <w:rsid w:val="00AB249C"/>
    <w:rsid w:val="00AB3057"/>
    <w:rsid w:val="00AB3141"/>
    <w:rsid w:val="00AB5EF7"/>
    <w:rsid w:val="00AB609D"/>
    <w:rsid w:val="00AB66B8"/>
    <w:rsid w:val="00AC188E"/>
    <w:rsid w:val="00AC2268"/>
    <w:rsid w:val="00AC27AF"/>
    <w:rsid w:val="00AC2FEB"/>
    <w:rsid w:val="00AC3AA9"/>
    <w:rsid w:val="00AC7102"/>
    <w:rsid w:val="00AC7AA8"/>
    <w:rsid w:val="00AD14E9"/>
    <w:rsid w:val="00AD38CD"/>
    <w:rsid w:val="00AD75D8"/>
    <w:rsid w:val="00AD7CAC"/>
    <w:rsid w:val="00AD7DE4"/>
    <w:rsid w:val="00AE3D01"/>
    <w:rsid w:val="00AE4FC4"/>
    <w:rsid w:val="00AE5260"/>
    <w:rsid w:val="00AE5CF7"/>
    <w:rsid w:val="00AE5F5F"/>
    <w:rsid w:val="00AE5F7F"/>
    <w:rsid w:val="00AE67B6"/>
    <w:rsid w:val="00AF079D"/>
    <w:rsid w:val="00AF08A4"/>
    <w:rsid w:val="00AF3442"/>
    <w:rsid w:val="00AF49A0"/>
    <w:rsid w:val="00AF5D13"/>
    <w:rsid w:val="00AF6684"/>
    <w:rsid w:val="00AF761E"/>
    <w:rsid w:val="00AF7CFA"/>
    <w:rsid w:val="00B0084E"/>
    <w:rsid w:val="00B021E1"/>
    <w:rsid w:val="00B039FE"/>
    <w:rsid w:val="00B05EB7"/>
    <w:rsid w:val="00B06344"/>
    <w:rsid w:val="00B0641E"/>
    <w:rsid w:val="00B071B2"/>
    <w:rsid w:val="00B078A6"/>
    <w:rsid w:val="00B10813"/>
    <w:rsid w:val="00B10F34"/>
    <w:rsid w:val="00B1435B"/>
    <w:rsid w:val="00B14DE9"/>
    <w:rsid w:val="00B17226"/>
    <w:rsid w:val="00B1739F"/>
    <w:rsid w:val="00B20435"/>
    <w:rsid w:val="00B2193F"/>
    <w:rsid w:val="00B21D21"/>
    <w:rsid w:val="00B26215"/>
    <w:rsid w:val="00B2664C"/>
    <w:rsid w:val="00B30D0B"/>
    <w:rsid w:val="00B329C0"/>
    <w:rsid w:val="00B333E0"/>
    <w:rsid w:val="00B34169"/>
    <w:rsid w:val="00B35DAF"/>
    <w:rsid w:val="00B37B25"/>
    <w:rsid w:val="00B40DB4"/>
    <w:rsid w:val="00B42EA6"/>
    <w:rsid w:val="00B43529"/>
    <w:rsid w:val="00B441A3"/>
    <w:rsid w:val="00B45828"/>
    <w:rsid w:val="00B459E6"/>
    <w:rsid w:val="00B4788F"/>
    <w:rsid w:val="00B51807"/>
    <w:rsid w:val="00B51D11"/>
    <w:rsid w:val="00B52304"/>
    <w:rsid w:val="00B52E59"/>
    <w:rsid w:val="00B537AA"/>
    <w:rsid w:val="00B54871"/>
    <w:rsid w:val="00B54BEC"/>
    <w:rsid w:val="00B5661B"/>
    <w:rsid w:val="00B568D1"/>
    <w:rsid w:val="00B56F9E"/>
    <w:rsid w:val="00B5771D"/>
    <w:rsid w:val="00B6040F"/>
    <w:rsid w:val="00B60D18"/>
    <w:rsid w:val="00B62BF7"/>
    <w:rsid w:val="00B704DC"/>
    <w:rsid w:val="00B70AB4"/>
    <w:rsid w:val="00B7681D"/>
    <w:rsid w:val="00B770F9"/>
    <w:rsid w:val="00B8223C"/>
    <w:rsid w:val="00B82CF7"/>
    <w:rsid w:val="00B82E6C"/>
    <w:rsid w:val="00B83E5B"/>
    <w:rsid w:val="00B840FF"/>
    <w:rsid w:val="00B8418F"/>
    <w:rsid w:val="00B850F5"/>
    <w:rsid w:val="00B85BB5"/>
    <w:rsid w:val="00B85D28"/>
    <w:rsid w:val="00B923D8"/>
    <w:rsid w:val="00B924CB"/>
    <w:rsid w:val="00B9671E"/>
    <w:rsid w:val="00BA0BF9"/>
    <w:rsid w:val="00BA1742"/>
    <w:rsid w:val="00BA6A1E"/>
    <w:rsid w:val="00BA779B"/>
    <w:rsid w:val="00BB14E3"/>
    <w:rsid w:val="00BB2113"/>
    <w:rsid w:val="00BB4F87"/>
    <w:rsid w:val="00BB6955"/>
    <w:rsid w:val="00BB7076"/>
    <w:rsid w:val="00BC08DE"/>
    <w:rsid w:val="00BC15E9"/>
    <w:rsid w:val="00BC295A"/>
    <w:rsid w:val="00BC31D7"/>
    <w:rsid w:val="00BC5A19"/>
    <w:rsid w:val="00BC7BDB"/>
    <w:rsid w:val="00BC7D06"/>
    <w:rsid w:val="00BD02D1"/>
    <w:rsid w:val="00BD0888"/>
    <w:rsid w:val="00BD2382"/>
    <w:rsid w:val="00BD38A7"/>
    <w:rsid w:val="00BD4CB1"/>
    <w:rsid w:val="00BD5685"/>
    <w:rsid w:val="00BD58EC"/>
    <w:rsid w:val="00BD6426"/>
    <w:rsid w:val="00BD6C5E"/>
    <w:rsid w:val="00BD7122"/>
    <w:rsid w:val="00BD7B28"/>
    <w:rsid w:val="00BE0E4E"/>
    <w:rsid w:val="00BE11CE"/>
    <w:rsid w:val="00BE1F7A"/>
    <w:rsid w:val="00BE53BD"/>
    <w:rsid w:val="00BE5AE9"/>
    <w:rsid w:val="00BE619B"/>
    <w:rsid w:val="00BE7431"/>
    <w:rsid w:val="00BE782B"/>
    <w:rsid w:val="00BF004A"/>
    <w:rsid w:val="00BF1472"/>
    <w:rsid w:val="00BF1F32"/>
    <w:rsid w:val="00BF208A"/>
    <w:rsid w:val="00BF2F72"/>
    <w:rsid w:val="00BF3E51"/>
    <w:rsid w:val="00BF4366"/>
    <w:rsid w:val="00BF495E"/>
    <w:rsid w:val="00BF5015"/>
    <w:rsid w:val="00BF7CA8"/>
    <w:rsid w:val="00BF7F5D"/>
    <w:rsid w:val="00C000E6"/>
    <w:rsid w:val="00C0041F"/>
    <w:rsid w:val="00C03B29"/>
    <w:rsid w:val="00C0439B"/>
    <w:rsid w:val="00C070F9"/>
    <w:rsid w:val="00C075E0"/>
    <w:rsid w:val="00C10A53"/>
    <w:rsid w:val="00C11B1A"/>
    <w:rsid w:val="00C13846"/>
    <w:rsid w:val="00C1558A"/>
    <w:rsid w:val="00C16B44"/>
    <w:rsid w:val="00C16E65"/>
    <w:rsid w:val="00C249BE"/>
    <w:rsid w:val="00C24B4C"/>
    <w:rsid w:val="00C26C1D"/>
    <w:rsid w:val="00C409F2"/>
    <w:rsid w:val="00C40EFF"/>
    <w:rsid w:val="00C42564"/>
    <w:rsid w:val="00C426BD"/>
    <w:rsid w:val="00C43613"/>
    <w:rsid w:val="00C46458"/>
    <w:rsid w:val="00C50F27"/>
    <w:rsid w:val="00C561A1"/>
    <w:rsid w:val="00C57185"/>
    <w:rsid w:val="00C576DE"/>
    <w:rsid w:val="00C57C2D"/>
    <w:rsid w:val="00C601F8"/>
    <w:rsid w:val="00C60374"/>
    <w:rsid w:val="00C61701"/>
    <w:rsid w:val="00C65F10"/>
    <w:rsid w:val="00C674CF"/>
    <w:rsid w:val="00C705FA"/>
    <w:rsid w:val="00C70EEE"/>
    <w:rsid w:val="00C72E0F"/>
    <w:rsid w:val="00C73001"/>
    <w:rsid w:val="00C74CE6"/>
    <w:rsid w:val="00C750F1"/>
    <w:rsid w:val="00C75D0D"/>
    <w:rsid w:val="00C767F3"/>
    <w:rsid w:val="00C77592"/>
    <w:rsid w:val="00C775F0"/>
    <w:rsid w:val="00C77A9D"/>
    <w:rsid w:val="00C77D07"/>
    <w:rsid w:val="00C826A9"/>
    <w:rsid w:val="00C8459E"/>
    <w:rsid w:val="00C86BCB"/>
    <w:rsid w:val="00C920FA"/>
    <w:rsid w:val="00C9220E"/>
    <w:rsid w:val="00C9312C"/>
    <w:rsid w:val="00C93C64"/>
    <w:rsid w:val="00C959F6"/>
    <w:rsid w:val="00C97B27"/>
    <w:rsid w:val="00CA54D2"/>
    <w:rsid w:val="00CA69C5"/>
    <w:rsid w:val="00CB2000"/>
    <w:rsid w:val="00CB2555"/>
    <w:rsid w:val="00CB3D5A"/>
    <w:rsid w:val="00CB621C"/>
    <w:rsid w:val="00CB7057"/>
    <w:rsid w:val="00CC02F2"/>
    <w:rsid w:val="00CC13CF"/>
    <w:rsid w:val="00CC2DBD"/>
    <w:rsid w:val="00CC33AC"/>
    <w:rsid w:val="00CC39D0"/>
    <w:rsid w:val="00CC3A27"/>
    <w:rsid w:val="00CC444E"/>
    <w:rsid w:val="00CC69FA"/>
    <w:rsid w:val="00CC6B34"/>
    <w:rsid w:val="00CC7127"/>
    <w:rsid w:val="00CD09B4"/>
    <w:rsid w:val="00CD239D"/>
    <w:rsid w:val="00CD6EE8"/>
    <w:rsid w:val="00CD7773"/>
    <w:rsid w:val="00CE1024"/>
    <w:rsid w:val="00CE2312"/>
    <w:rsid w:val="00CE5339"/>
    <w:rsid w:val="00CE691B"/>
    <w:rsid w:val="00CE7437"/>
    <w:rsid w:val="00CE78B9"/>
    <w:rsid w:val="00CF02C2"/>
    <w:rsid w:val="00CF0BA0"/>
    <w:rsid w:val="00CF2EEF"/>
    <w:rsid w:val="00CF464F"/>
    <w:rsid w:val="00CF48A1"/>
    <w:rsid w:val="00CF5CD9"/>
    <w:rsid w:val="00CF67F1"/>
    <w:rsid w:val="00D004DE"/>
    <w:rsid w:val="00D01E73"/>
    <w:rsid w:val="00D029A4"/>
    <w:rsid w:val="00D030F7"/>
    <w:rsid w:val="00D0314D"/>
    <w:rsid w:val="00D05F0E"/>
    <w:rsid w:val="00D06A95"/>
    <w:rsid w:val="00D06AAE"/>
    <w:rsid w:val="00D0778D"/>
    <w:rsid w:val="00D1313E"/>
    <w:rsid w:val="00D13DA8"/>
    <w:rsid w:val="00D16244"/>
    <w:rsid w:val="00D1676A"/>
    <w:rsid w:val="00D21084"/>
    <w:rsid w:val="00D223B2"/>
    <w:rsid w:val="00D2261E"/>
    <w:rsid w:val="00D2503E"/>
    <w:rsid w:val="00D2665C"/>
    <w:rsid w:val="00D267E9"/>
    <w:rsid w:val="00D31A22"/>
    <w:rsid w:val="00D31D83"/>
    <w:rsid w:val="00D31F8A"/>
    <w:rsid w:val="00D32CD6"/>
    <w:rsid w:val="00D33E6D"/>
    <w:rsid w:val="00D355AF"/>
    <w:rsid w:val="00D36CF7"/>
    <w:rsid w:val="00D37677"/>
    <w:rsid w:val="00D41566"/>
    <w:rsid w:val="00D4185E"/>
    <w:rsid w:val="00D41F1D"/>
    <w:rsid w:val="00D424F4"/>
    <w:rsid w:val="00D448A6"/>
    <w:rsid w:val="00D50E3E"/>
    <w:rsid w:val="00D515BB"/>
    <w:rsid w:val="00D548EC"/>
    <w:rsid w:val="00D56913"/>
    <w:rsid w:val="00D6062B"/>
    <w:rsid w:val="00D6138B"/>
    <w:rsid w:val="00D61E00"/>
    <w:rsid w:val="00D637DD"/>
    <w:rsid w:val="00D63F5A"/>
    <w:rsid w:val="00D66BE2"/>
    <w:rsid w:val="00D704B3"/>
    <w:rsid w:val="00D70B9C"/>
    <w:rsid w:val="00D71AF2"/>
    <w:rsid w:val="00D73671"/>
    <w:rsid w:val="00D74914"/>
    <w:rsid w:val="00D74C71"/>
    <w:rsid w:val="00D76110"/>
    <w:rsid w:val="00D765FC"/>
    <w:rsid w:val="00D77428"/>
    <w:rsid w:val="00D77EC9"/>
    <w:rsid w:val="00D81DC0"/>
    <w:rsid w:val="00D8264B"/>
    <w:rsid w:val="00D9028D"/>
    <w:rsid w:val="00D91F21"/>
    <w:rsid w:val="00D935CD"/>
    <w:rsid w:val="00D94273"/>
    <w:rsid w:val="00D944A0"/>
    <w:rsid w:val="00D946E9"/>
    <w:rsid w:val="00D965A8"/>
    <w:rsid w:val="00DA1173"/>
    <w:rsid w:val="00DA365A"/>
    <w:rsid w:val="00DA5F06"/>
    <w:rsid w:val="00DA7EB6"/>
    <w:rsid w:val="00DB01EA"/>
    <w:rsid w:val="00DB1008"/>
    <w:rsid w:val="00DB2502"/>
    <w:rsid w:val="00DB45CC"/>
    <w:rsid w:val="00DB6D11"/>
    <w:rsid w:val="00DB7E41"/>
    <w:rsid w:val="00DC06AC"/>
    <w:rsid w:val="00DC110A"/>
    <w:rsid w:val="00DC1BF6"/>
    <w:rsid w:val="00DC2FDC"/>
    <w:rsid w:val="00DC3A4D"/>
    <w:rsid w:val="00DC4A9B"/>
    <w:rsid w:val="00DC4FA6"/>
    <w:rsid w:val="00DC500F"/>
    <w:rsid w:val="00DC76AE"/>
    <w:rsid w:val="00DD230C"/>
    <w:rsid w:val="00DD2358"/>
    <w:rsid w:val="00DD447E"/>
    <w:rsid w:val="00DD4719"/>
    <w:rsid w:val="00DD6937"/>
    <w:rsid w:val="00DD6E5B"/>
    <w:rsid w:val="00DD727F"/>
    <w:rsid w:val="00DD7398"/>
    <w:rsid w:val="00DD7997"/>
    <w:rsid w:val="00DE0520"/>
    <w:rsid w:val="00DE0C34"/>
    <w:rsid w:val="00DE2DF3"/>
    <w:rsid w:val="00DE3B31"/>
    <w:rsid w:val="00DE3BA7"/>
    <w:rsid w:val="00DE5384"/>
    <w:rsid w:val="00DE6AB5"/>
    <w:rsid w:val="00DE7014"/>
    <w:rsid w:val="00DE75DA"/>
    <w:rsid w:val="00DE79C5"/>
    <w:rsid w:val="00DF18EC"/>
    <w:rsid w:val="00DF19C0"/>
    <w:rsid w:val="00DF52FA"/>
    <w:rsid w:val="00DF57EF"/>
    <w:rsid w:val="00DF5F3C"/>
    <w:rsid w:val="00DF667F"/>
    <w:rsid w:val="00DF6C28"/>
    <w:rsid w:val="00E00AB8"/>
    <w:rsid w:val="00E00B48"/>
    <w:rsid w:val="00E0130E"/>
    <w:rsid w:val="00E01675"/>
    <w:rsid w:val="00E02B31"/>
    <w:rsid w:val="00E030EE"/>
    <w:rsid w:val="00E07CC4"/>
    <w:rsid w:val="00E108C3"/>
    <w:rsid w:val="00E11664"/>
    <w:rsid w:val="00E11F03"/>
    <w:rsid w:val="00E120B6"/>
    <w:rsid w:val="00E120B9"/>
    <w:rsid w:val="00E124D0"/>
    <w:rsid w:val="00E13758"/>
    <w:rsid w:val="00E1381E"/>
    <w:rsid w:val="00E148F3"/>
    <w:rsid w:val="00E1515F"/>
    <w:rsid w:val="00E151DA"/>
    <w:rsid w:val="00E15382"/>
    <w:rsid w:val="00E207BE"/>
    <w:rsid w:val="00E20944"/>
    <w:rsid w:val="00E2203F"/>
    <w:rsid w:val="00E238A2"/>
    <w:rsid w:val="00E23BBB"/>
    <w:rsid w:val="00E24F54"/>
    <w:rsid w:val="00E26404"/>
    <w:rsid w:val="00E3243B"/>
    <w:rsid w:val="00E32FD8"/>
    <w:rsid w:val="00E335D8"/>
    <w:rsid w:val="00E33707"/>
    <w:rsid w:val="00E34005"/>
    <w:rsid w:val="00E3521D"/>
    <w:rsid w:val="00E35248"/>
    <w:rsid w:val="00E3663F"/>
    <w:rsid w:val="00E367AE"/>
    <w:rsid w:val="00E37606"/>
    <w:rsid w:val="00E413AB"/>
    <w:rsid w:val="00E43274"/>
    <w:rsid w:val="00E44892"/>
    <w:rsid w:val="00E4665E"/>
    <w:rsid w:val="00E47E75"/>
    <w:rsid w:val="00E52B86"/>
    <w:rsid w:val="00E53F38"/>
    <w:rsid w:val="00E54910"/>
    <w:rsid w:val="00E55FB4"/>
    <w:rsid w:val="00E561C6"/>
    <w:rsid w:val="00E613E4"/>
    <w:rsid w:val="00E61DC5"/>
    <w:rsid w:val="00E64E71"/>
    <w:rsid w:val="00E650E4"/>
    <w:rsid w:val="00E67EC0"/>
    <w:rsid w:val="00E7090F"/>
    <w:rsid w:val="00E73E35"/>
    <w:rsid w:val="00E756D1"/>
    <w:rsid w:val="00E80597"/>
    <w:rsid w:val="00E807BA"/>
    <w:rsid w:val="00E80962"/>
    <w:rsid w:val="00E80F7E"/>
    <w:rsid w:val="00E8164C"/>
    <w:rsid w:val="00E82B5F"/>
    <w:rsid w:val="00E830A6"/>
    <w:rsid w:val="00E83556"/>
    <w:rsid w:val="00E83F3E"/>
    <w:rsid w:val="00E857DA"/>
    <w:rsid w:val="00E908C3"/>
    <w:rsid w:val="00E90D94"/>
    <w:rsid w:val="00E90E76"/>
    <w:rsid w:val="00E91EF3"/>
    <w:rsid w:val="00E93173"/>
    <w:rsid w:val="00E95194"/>
    <w:rsid w:val="00E96F65"/>
    <w:rsid w:val="00EA066E"/>
    <w:rsid w:val="00EA0F8F"/>
    <w:rsid w:val="00EA5BBB"/>
    <w:rsid w:val="00EA7A53"/>
    <w:rsid w:val="00EB06FA"/>
    <w:rsid w:val="00EB0789"/>
    <w:rsid w:val="00EB08C4"/>
    <w:rsid w:val="00EB10A7"/>
    <w:rsid w:val="00EB2328"/>
    <w:rsid w:val="00EB48A2"/>
    <w:rsid w:val="00EB49BC"/>
    <w:rsid w:val="00EB6085"/>
    <w:rsid w:val="00EB6DE7"/>
    <w:rsid w:val="00EB6FB6"/>
    <w:rsid w:val="00EB71F5"/>
    <w:rsid w:val="00EC0FC6"/>
    <w:rsid w:val="00EC197C"/>
    <w:rsid w:val="00EC5F1A"/>
    <w:rsid w:val="00ED4442"/>
    <w:rsid w:val="00ED574F"/>
    <w:rsid w:val="00ED694A"/>
    <w:rsid w:val="00ED76D9"/>
    <w:rsid w:val="00ED77F1"/>
    <w:rsid w:val="00EE19B3"/>
    <w:rsid w:val="00EE2372"/>
    <w:rsid w:val="00EE3343"/>
    <w:rsid w:val="00EF0DF0"/>
    <w:rsid w:val="00EF1559"/>
    <w:rsid w:val="00EF3E61"/>
    <w:rsid w:val="00EF64D9"/>
    <w:rsid w:val="00F0398D"/>
    <w:rsid w:val="00F0434D"/>
    <w:rsid w:val="00F0449C"/>
    <w:rsid w:val="00F060A4"/>
    <w:rsid w:val="00F06124"/>
    <w:rsid w:val="00F07523"/>
    <w:rsid w:val="00F1269D"/>
    <w:rsid w:val="00F132D8"/>
    <w:rsid w:val="00F16B10"/>
    <w:rsid w:val="00F20BFD"/>
    <w:rsid w:val="00F21810"/>
    <w:rsid w:val="00F222D2"/>
    <w:rsid w:val="00F231AB"/>
    <w:rsid w:val="00F2375D"/>
    <w:rsid w:val="00F23C81"/>
    <w:rsid w:val="00F2489F"/>
    <w:rsid w:val="00F24BB1"/>
    <w:rsid w:val="00F2618E"/>
    <w:rsid w:val="00F27B29"/>
    <w:rsid w:val="00F304EE"/>
    <w:rsid w:val="00F31887"/>
    <w:rsid w:val="00F35671"/>
    <w:rsid w:val="00F3592B"/>
    <w:rsid w:val="00F366CF"/>
    <w:rsid w:val="00F366DA"/>
    <w:rsid w:val="00F400C4"/>
    <w:rsid w:val="00F40A43"/>
    <w:rsid w:val="00F40F15"/>
    <w:rsid w:val="00F41539"/>
    <w:rsid w:val="00F41E90"/>
    <w:rsid w:val="00F44906"/>
    <w:rsid w:val="00F463F0"/>
    <w:rsid w:val="00F46B42"/>
    <w:rsid w:val="00F4710F"/>
    <w:rsid w:val="00F505B2"/>
    <w:rsid w:val="00F53A81"/>
    <w:rsid w:val="00F53E1D"/>
    <w:rsid w:val="00F5434E"/>
    <w:rsid w:val="00F57750"/>
    <w:rsid w:val="00F57D8D"/>
    <w:rsid w:val="00F60D82"/>
    <w:rsid w:val="00F60E88"/>
    <w:rsid w:val="00F60EA7"/>
    <w:rsid w:val="00F617B7"/>
    <w:rsid w:val="00F62BE1"/>
    <w:rsid w:val="00F62DA5"/>
    <w:rsid w:val="00F641A4"/>
    <w:rsid w:val="00F70724"/>
    <w:rsid w:val="00F73B29"/>
    <w:rsid w:val="00F757F6"/>
    <w:rsid w:val="00F75E84"/>
    <w:rsid w:val="00F7655D"/>
    <w:rsid w:val="00F76827"/>
    <w:rsid w:val="00F823B7"/>
    <w:rsid w:val="00F82B69"/>
    <w:rsid w:val="00F8331E"/>
    <w:rsid w:val="00F84984"/>
    <w:rsid w:val="00F84A95"/>
    <w:rsid w:val="00F85193"/>
    <w:rsid w:val="00F85296"/>
    <w:rsid w:val="00F86321"/>
    <w:rsid w:val="00F90437"/>
    <w:rsid w:val="00F91188"/>
    <w:rsid w:val="00F911C5"/>
    <w:rsid w:val="00F928A1"/>
    <w:rsid w:val="00F94B1A"/>
    <w:rsid w:val="00F94D75"/>
    <w:rsid w:val="00F9546C"/>
    <w:rsid w:val="00F96738"/>
    <w:rsid w:val="00F96CF9"/>
    <w:rsid w:val="00F97B72"/>
    <w:rsid w:val="00FA10A8"/>
    <w:rsid w:val="00FA1427"/>
    <w:rsid w:val="00FA45BA"/>
    <w:rsid w:val="00FA4B03"/>
    <w:rsid w:val="00FA5296"/>
    <w:rsid w:val="00FA6F2E"/>
    <w:rsid w:val="00FB1F93"/>
    <w:rsid w:val="00FB48DF"/>
    <w:rsid w:val="00FB4F3E"/>
    <w:rsid w:val="00FB5972"/>
    <w:rsid w:val="00FB632F"/>
    <w:rsid w:val="00FC07D0"/>
    <w:rsid w:val="00FC3256"/>
    <w:rsid w:val="00FC3BAF"/>
    <w:rsid w:val="00FC5824"/>
    <w:rsid w:val="00FC5D22"/>
    <w:rsid w:val="00FC741D"/>
    <w:rsid w:val="00FD01BA"/>
    <w:rsid w:val="00FD0CA5"/>
    <w:rsid w:val="00FD4012"/>
    <w:rsid w:val="00FD5854"/>
    <w:rsid w:val="00FD713D"/>
    <w:rsid w:val="00FE20F3"/>
    <w:rsid w:val="00FE3F6F"/>
    <w:rsid w:val="00FE3FC8"/>
    <w:rsid w:val="00FE4D45"/>
    <w:rsid w:val="00FE5F0C"/>
    <w:rsid w:val="00FF4F25"/>
    <w:rsid w:val="00FF5079"/>
    <w:rsid w:val="00FF50FB"/>
    <w:rsid w:val="00FF6B57"/>
    <w:rsid w:val="01262A4D"/>
    <w:rsid w:val="0161650D"/>
    <w:rsid w:val="016D1684"/>
    <w:rsid w:val="01B04500"/>
    <w:rsid w:val="01B31E16"/>
    <w:rsid w:val="01D04E93"/>
    <w:rsid w:val="01D7158D"/>
    <w:rsid w:val="01D8699E"/>
    <w:rsid w:val="01DC52B1"/>
    <w:rsid w:val="01EE746E"/>
    <w:rsid w:val="02017DCB"/>
    <w:rsid w:val="022B1E95"/>
    <w:rsid w:val="023A109F"/>
    <w:rsid w:val="0256197E"/>
    <w:rsid w:val="026F1FE6"/>
    <w:rsid w:val="027B7754"/>
    <w:rsid w:val="02A5657B"/>
    <w:rsid w:val="02C0545C"/>
    <w:rsid w:val="02D84F28"/>
    <w:rsid w:val="031B752A"/>
    <w:rsid w:val="03262267"/>
    <w:rsid w:val="033B490A"/>
    <w:rsid w:val="03794AF6"/>
    <w:rsid w:val="039D3BE2"/>
    <w:rsid w:val="03B965CA"/>
    <w:rsid w:val="03D32B17"/>
    <w:rsid w:val="03D64FF9"/>
    <w:rsid w:val="03DF51D8"/>
    <w:rsid w:val="03E46A7F"/>
    <w:rsid w:val="03F30799"/>
    <w:rsid w:val="04245CC6"/>
    <w:rsid w:val="0432090D"/>
    <w:rsid w:val="04475648"/>
    <w:rsid w:val="04506807"/>
    <w:rsid w:val="04714F72"/>
    <w:rsid w:val="04736200"/>
    <w:rsid w:val="047550DB"/>
    <w:rsid w:val="0480214A"/>
    <w:rsid w:val="0484318E"/>
    <w:rsid w:val="048B7990"/>
    <w:rsid w:val="049031F8"/>
    <w:rsid w:val="04B0361E"/>
    <w:rsid w:val="04DE21DE"/>
    <w:rsid w:val="04EB11FE"/>
    <w:rsid w:val="04EE1776"/>
    <w:rsid w:val="051B544B"/>
    <w:rsid w:val="053640B5"/>
    <w:rsid w:val="05486A95"/>
    <w:rsid w:val="055F06CF"/>
    <w:rsid w:val="05A2203A"/>
    <w:rsid w:val="05BE081F"/>
    <w:rsid w:val="05C757C1"/>
    <w:rsid w:val="05E41D15"/>
    <w:rsid w:val="06093262"/>
    <w:rsid w:val="06211E21"/>
    <w:rsid w:val="063F2AE5"/>
    <w:rsid w:val="066D4CE1"/>
    <w:rsid w:val="067B477F"/>
    <w:rsid w:val="068C498F"/>
    <w:rsid w:val="06D53BB9"/>
    <w:rsid w:val="06E74A42"/>
    <w:rsid w:val="07031F83"/>
    <w:rsid w:val="07170777"/>
    <w:rsid w:val="072F720E"/>
    <w:rsid w:val="073F25B6"/>
    <w:rsid w:val="07477166"/>
    <w:rsid w:val="07504230"/>
    <w:rsid w:val="07591FC8"/>
    <w:rsid w:val="078253F5"/>
    <w:rsid w:val="07A2518C"/>
    <w:rsid w:val="07A357FE"/>
    <w:rsid w:val="07C70A58"/>
    <w:rsid w:val="080169B3"/>
    <w:rsid w:val="08207AF6"/>
    <w:rsid w:val="085F2844"/>
    <w:rsid w:val="08705E11"/>
    <w:rsid w:val="088A0411"/>
    <w:rsid w:val="088C017B"/>
    <w:rsid w:val="08B00A92"/>
    <w:rsid w:val="08C33C1A"/>
    <w:rsid w:val="08C74F07"/>
    <w:rsid w:val="08D84396"/>
    <w:rsid w:val="09010D19"/>
    <w:rsid w:val="09431C6A"/>
    <w:rsid w:val="094927F4"/>
    <w:rsid w:val="095728A7"/>
    <w:rsid w:val="097A15A5"/>
    <w:rsid w:val="097B69AA"/>
    <w:rsid w:val="0A01649D"/>
    <w:rsid w:val="0A1B2F95"/>
    <w:rsid w:val="0A323123"/>
    <w:rsid w:val="0A404975"/>
    <w:rsid w:val="0A426FED"/>
    <w:rsid w:val="0A447109"/>
    <w:rsid w:val="0A600A2A"/>
    <w:rsid w:val="0A6157BC"/>
    <w:rsid w:val="0A870ACB"/>
    <w:rsid w:val="0A8A634D"/>
    <w:rsid w:val="0A93098D"/>
    <w:rsid w:val="0ABC6CD0"/>
    <w:rsid w:val="0AE61DC4"/>
    <w:rsid w:val="0AFB6637"/>
    <w:rsid w:val="0B0B71FB"/>
    <w:rsid w:val="0B0C7351"/>
    <w:rsid w:val="0B1D6FB2"/>
    <w:rsid w:val="0B293A5F"/>
    <w:rsid w:val="0B5770F6"/>
    <w:rsid w:val="0B7A1E23"/>
    <w:rsid w:val="0BC71450"/>
    <w:rsid w:val="0BC86BCC"/>
    <w:rsid w:val="0BD3774E"/>
    <w:rsid w:val="0BE923B6"/>
    <w:rsid w:val="0BFD0227"/>
    <w:rsid w:val="0C0544CC"/>
    <w:rsid w:val="0C0A5D32"/>
    <w:rsid w:val="0C3C1AF2"/>
    <w:rsid w:val="0C490150"/>
    <w:rsid w:val="0C4C7806"/>
    <w:rsid w:val="0C555206"/>
    <w:rsid w:val="0CA60F8C"/>
    <w:rsid w:val="0CAA54C3"/>
    <w:rsid w:val="0CB3607A"/>
    <w:rsid w:val="0CE210A5"/>
    <w:rsid w:val="0CF4794F"/>
    <w:rsid w:val="0CFB5904"/>
    <w:rsid w:val="0D28396F"/>
    <w:rsid w:val="0D462C02"/>
    <w:rsid w:val="0D4865F8"/>
    <w:rsid w:val="0D5E4110"/>
    <w:rsid w:val="0D9E1D82"/>
    <w:rsid w:val="0DCD4866"/>
    <w:rsid w:val="0DF00FC3"/>
    <w:rsid w:val="0E1E0E21"/>
    <w:rsid w:val="0E3A25E6"/>
    <w:rsid w:val="0E413A70"/>
    <w:rsid w:val="0E487F11"/>
    <w:rsid w:val="0E5E4C01"/>
    <w:rsid w:val="0E67321C"/>
    <w:rsid w:val="0E75179E"/>
    <w:rsid w:val="0E764519"/>
    <w:rsid w:val="0E8148E9"/>
    <w:rsid w:val="0EA04BBD"/>
    <w:rsid w:val="0EA66AFA"/>
    <w:rsid w:val="0EFC36E5"/>
    <w:rsid w:val="0F012521"/>
    <w:rsid w:val="0F293B2D"/>
    <w:rsid w:val="0F4245AA"/>
    <w:rsid w:val="0F4944C8"/>
    <w:rsid w:val="0F856D7C"/>
    <w:rsid w:val="0FA40C66"/>
    <w:rsid w:val="0FBA1C19"/>
    <w:rsid w:val="0FD72864"/>
    <w:rsid w:val="0FE76BBC"/>
    <w:rsid w:val="1012149F"/>
    <w:rsid w:val="1050255E"/>
    <w:rsid w:val="10563548"/>
    <w:rsid w:val="10800731"/>
    <w:rsid w:val="108A6DCE"/>
    <w:rsid w:val="108C51BC"/>
    <w:rsid w:val="1099262B"/>
    <w:rsid w:val="10BD2C31"/>
    <w:rsid w:val="10E72B9F"/>
    <w:rsid w:val="10EE7DD4"/>
    <w:rsid w:val="10F11000"/>
    <w:rsid w:val="10F82D2F"/>
    <w:rsid w:val="11174D13"/>
    <w:rsid w:val="111928D1"/>
    <w:rsid w:val="11245A43"/>
    <w:rsid w:val="11271609"/>
    <w:rsid w:val="113A53C4"/>
    <w:rsid w:val="11423E5F"/>
    <w:rsid w:val="114C29E8"/>
    <w:rsid w:val="11512744"/>
    <w:rsid w:val="1154104B"/>
    <w:rsid w:val="117E6776"/>
    <w:rsid w:val="120E1EDE"/>
    <w:rsid w:val="121E30E7"/>
    <w:rsid w:val="12334244"/>
    <w:rsid w:val="1243265A"/>
    <w:rsid w:val="124A7543"/>
    <w:rsid w:val="12521F00"/>
    <w:rsid w:val="12546914"/>
    <w:rsid w:val="125760D4"/>
    <w:rsid w:val="127F0410"/>
    <w:rsid w:val="12CC0349"/>
    <w:rsid w:val="12F94796"/>
    <w:rsid w:val="13161848"/>
    <w:rsid w:val="13174AE5"/>
    <w:rsid w:val="132728CD"/>
    <w:rsid w:val="133A31A2"/>
    <w:rsid w:val="13537CEC"/>
    <w:rsid w:val="137204BA"/>
    <w:rsid w:val="13767B3A"/>
    <w:rsid w:val="13815D15"/>
    <w:rsid w:val="138A48B6"/>
    <w:rsid w:val="1390642F"/>
    <w:rsid w:val="13A17D25"/>
    <w:rsid w:val="13A223C7"/>
    <w:rsid w:val="13BA35BF"/>
    <w:rsid w:val="13D02B8C"/>
    <w:rsid w:val="13D659BD"/>
    <w:rsid w:val="13E50981"/>
    <w:rsid w:val="13FE0DFE"/>
    <w:rsid w:val="14151EEA"/>
    <w:rsid w:val="142B2AFA"/>
    <w:rsid w:val="145835BA"/>
    <w:rsid w:val="14794309"/>
    <w:rsid w:val="14825712"/>
    <w:rsid w:val="14941145"/>
    <w:rsid w:val="14A718D6"/>
    <w:rsid w:val="14A91555"/>
    <w:rsid w:val="14D47AB7"/>
    <w:rsid w:val="14E453C8"/>
    <w:rsid w:val="15113EE2"/>
    <w:rsid w:val="152D47C3"/>
    <w:rsid w:val="153214D2"/>
    <w:rsid w:val="155B529C"/>
    <w:rsid w:val="15625511"/>
    <w:rsid w:val="158D6722"/>
    <w:rsid w:val="158E5532"/>
    <w:rsid w:val="16021394"/>
    <w:rsid w:val="160E0808"/>
    <w:rsid w:val="1649386D"/>
    <w:rsid w:val="165265FC"/>
    <w:rsid w:val="16E425C9"/>
    <w:rsid w:val="170E6D43"/>
    <w:rsid w:val="17292C6A"/>
    <w:rsid w:val="17294A6D"/>
    <w:rsid w:val="17322B53"/>
    <w:rsid w:val="17343D68"/>
    <w:rsid w:val="1734459D"/>
    <w:rsid w:val="17786ED9"/>
    <w:rsid w:val="178B60C6"/>
    <w:rsid w:val="17B16E03"/>
    <w:rsid w:val="17B46B20"/>
    <w:rsid w:val="17B63240"/>
    <w:rsid w:val="17BD582B"/>
    <w:rsid w:val="17CE447E"/>
    <w:rsid w:val="17D41B31"/>
    <w:rsid w:val="18067269"/>
    <w:rsid w:val="181B18E0"/>
    <w:rsid w:val="185F4419"/>
    <w:rsid w:val="18784278"/>
    <w:rsid w:val="1889233A"/>
    <w:rsid w:val="189C62C6"/>
    <w:rsid w:val="18A90BB8"/>
    <w:rsid w:val="18D94284"/>
    <w:rsid w:val="18FF4C70"/>
    <w:rsid w:val="19617621"/>
    <w:rsid w:val="196E0DDB"/>
    <w:rsid w:val="1972591D"/>
    <w:rsid w:val="19761650"/>
    <w:rsid w:val="197E5D58"/>
    <w:rsid w:val="19802E78"/>
    <w:rsid w:val="1982352D"/>
    <w:rsid w:val="19A16964"/>
    <w:rsid w:val="19A86598"/>
    <w:rsid w:val="19AE1969"/>
    <w:rsid w:val="19B87DC1"/>
    <w:rsid w:val="1A28357B"/>
    <w:rsid w:val="1A2E1092"/>
    <w:rsid w:val="1A313A49"/>
    <w:rsid w:val="1A352420"/>
    <w:rsid w:val="1A6D701B"/>
    <w:rsid w:val="1AD80FFE"/>
    <w:rsid w:val="1B240EAD"/>
    <w:rsid w:val="1B25070F"/>
    <w:rsid w:val="1B2F721F"/>
    <w:rsid w:val="1B5B2C64"/>
    <w:rsid w:val="1B6953CB"/>
    <w:rsid w:val="1BC15DD7"/>
    <w:rsid w:val="1BD50603"/>
    <w:rsid w:val="1BDC1602"/>
    <w:rsid w:val="1BF95799"/>
    <w:rsid w:val="1C340624"/>
    <w:rsid w:val="1C4055EE"/>
    <w:rsid w:val="1C8F0F9D"/>
    <w:rsid w:val="1C9D505E"/>
    <w:rsid w:val="1CA26601"/>
    <w:rsid w:val="1CE5512D"/>
    <w:rsid w:val="1D012A8E"/>
    <w:rsid w:val="1D4D223A"/>
    <w:rsid w:val="1D636647"/>
    <w:rsid w:val="1D7F24F1"/>
    <w:rsid w:val="1D8A4DF3"/>
    <w:rsid w:val="1D8D6749"/>
    <w:rsid w:val="1DBB2D63"/>
    <w:rsid w:val="1DC6123C"/>
    <w:rsid w:val="1DE61A43"/>
    <w:rsid w:val="1E233BB0"/>
    <w:rsid w:val="1E312728"/>
    <w:rsid w:val="1E362239"/>
    <w:rsid w:val="1E385716"/>
    <w:rsid w:val="1E4303C2"/>
    <w:rsid w:val="1E6418CC"/>
    <w:rsid w:val="1EB308C1"/>
    <w:rsid w:val="1EF95415"/>
    <w:rsid w:val="1EFE6E0C"/>
    <w:rsid w:val="1F101ABE"/>
    <w:rsid w:val="1F3D6927"/>
    <w:rsid w:val="1F405F69"/>
    <w:rsid w:val="1F631378"/>
    <w:rsid w:val="1F687919"/>
    <w:rsid w:val="1F76202E"/>
    <w:rsid w:val="1F8F7E5C"/>
    <w:rsid w:val="1F940CAD"/>
    <w:rsid w:val="1FAB0BDF"/>
    <w:rsid w:val="1FAF701D"/>
    <w:rsid w:val="1FBD20EF"/>
    <w:rsid w:val="1FCC7D6F"/>
    <w:rsid w:val="1FCD656B"/>
    <w:rsid w:val="1FD034F3"/>
    <w:rsid w:val="1FF42688"/>
    <w:rsid w:val="1FF90C14"/>
    <w:rsid w:val="205273BB"/>
    <w:rsid w:val="206A1A63"/>
    <w:rsid w:val="20746D43"/>
    <w:rsid w:val="208B7B0B"/>
    <w:rsid w:val="20AB27E2"/>
    <w:rsid w:val="20AC4511"/>
    <w:rsid w:val="20BB1D78"/>
    <w:rsid w:val="21021B32"/>
    <w:rsid w:val="21154190"/>
    <w:rsid w:val="21186188"/>
    <w:rsid w:val="2158729D"/>
    <w:rsid w:val="216A15EA"/>
    <w:rsid w:val="21D63C74"/>
    <w:rsid w:val="21D70261"/>
    <w:rsid w:val="21E24AD8"/>
    <w:rsid w:val="21ED35E0"/>
    <w:rsid w:val="221C1DEB"/>
    <w:rsid w:val="222C61A7"/>
    <w:rsid w:val="225228A9"/>
    <w:rsid w:val="22703B15"/>
    <w:rsid w:val="227A2AF3"/>
    <w:rsid w:val="228D497D"/>
    <w:rsid w:val="22AC60C8"/>
    <w:rsid w:val="22DE3259"/>
    <w:rsid w:val="22F00967"/>
    <w:rsid w:val="22FA4207"/>
    <w:rsid w:val="236408D1"/>
    <w:rsid w:val="237B60CA"/>
    <w:rsid w:val="237D6BE6"/>
    <w:rsid w:val="2387122C"/>
    <w:rsid w:val="23910BEF"/>
    <w:rsid w:val="23DB492D"/>
    <w:rsid w:val="23E4680B"/>
    <w:rsid w:val="2400516C"/>
    <w:rsid w:val="24085A4F"/>
    <w:rsid w:val="240F4B2A"/>
    <w:rsid w:val="241A4A05"/>
    <w:rsid w:val="242A0E1D"/>
    <w:rsid w:val="243C1AFE"/>
    <w:rsid w:val="24A24A5F"/>
    <w:rsid w:val="24CE030D"/>
    <w:rsid w:val="24DC3EAB"/>
    <w:rsid w:val="25121BF8"/>
    <w:rsid w:val="253C4217"/>
    <w:rsid w:val="255C2AE1"/>
    <w:rsid w:val="255F2490"/>
    <w:rsid w:val="257162D7"/>
    <w:rsid w:val="25D453E1"/>
    <w:rsid w:val="26075B0A"/>
    <w:rsid w:val="26223D84"/>
    <w:rsid w:val="264819A1"/>
    <w:rsid w:val="265C1513"/>
    <w:rsid w:val="2660039C"/>
    <w:rsid w:val="26606D38"/>
    <w:rsid w:val="2664671C"/>
    <w:rsid w:val="26857903"/>
    <w:rsid w:val="26AE6FED"/>
    <w:rsid w:val="26BA5FBA"/>
    <w:rsid w:val="26CC79CE"/>
    <w:rsid w:val="26E55A24"/>
    <w:rsid w:val="26E663EF"/>
    <w:rsid w:val="26F93E83"/>
    <w:rsid w:val="270F6ADD"/>
    <w:rsid w:val="273A478E"/>
    <w:rsid w:val="2741519C"/>
    <w:rsid w:val="275A5444"/>
    <w:rsid w:val="275B723E"/>
    <w:rsid w:val="27630099"/>
    <w:rsid w:val="276341AD"/>
    <w:rsid w:val="27683AE1"/>
    <w:rsid w:val="27A04C51"/>
    <w:rsid w:val="27A978EC"/>
    <w:rsid w:val="27B76B5A"/>
    <w:rsid w:val="27BF2F68"/>
    <w:rsid w:val="27CA6D83"/>
    <w:rsid w:val="27E12375"/>
    <w:rsid w:val="28136A8E"/>
    <w:rsid w:val="28237309"/>
    <w:rsid w:val="284847EE"/>
    <w:rsid w:val="28634B37"/>
    <w:rsid w:val="28863150"/>
    <w:rsid w:val="288F6E9F"/>
    <w:rsid w:val="28E45EA3"/>
    <w:rsid w:val="28FE1EAD"/>
    <w:rsid w:val="29082B64"/>
    <w:rsid w:val="291A5959"/>
    <w:rsid w:val="291C0F62"/>
    <w:rsid w:val="295E313D"/>
    <w:rsid w:val="29726862"/>
    <w:rsid w:val="29A41DBC"/>
    <w:rsid w:val="29C158BA"/>
    <w:rsid w:val="29E01545"/>
    <w:rsid w:val="29F84E47"/>
    <w:rsid w:val="2A0C7713"/>
    <w:rsid w:val="2A1D79BB"/>
    <w:rsid w:val="2A2C0A1E"/>
    <w:rsid w:val="2A3E75AD"/>
    <w:rsid w:val="2A972E22"/>
    <w:rsid w:val="2ABF3381"/>
    <w:rsid w:val="2AD62660"/>
    <w:rsid w:val="2AD670DC"/>
    <w:rsid w:val="2ADE7F85"/>
    <w:rsid w:val="2B1B7216"/>
    <w:rsid w:val="2B3F1BB4"/>
    <w:rsid w:val="2B651481"/>
    <w:rsid w:val="2B963DEC"/>
    <w:rsid w:val="2B9F3F88"/>
    <w:rsid w:val="2BA47FE1"/>
    <w:rsid w:val="2BAC310F"/>
    <w:rsid w:val="2BEF52F3"/>
    <w:rsid w:val="2C0C0ED2"/>
    <w:rsid w:val="2C1852E4"/>
    <w:rsid w:val="2C8B1289"/>
    <w:rsid w:val="2CC16B39"/>
    <w:rsid w:val="2CEA64D5"/>
    <w:rsid w:val="2CEC49A4"/>
    <w:rsid w:val="2CF43625"/>
    <w:rsid w:val="2D1437B2"/>
    <w:rsid w:val="2D1903E2"/>
    <w:rsid w:val="2D1E3173"/>
    <w:rsid w:val="2D3421AB"/>
    <w:rsid w:val="2D3C4EF7"/>
    <w:rsid w:val="2D550B77"/>
    <w:rsid w:val="2E086516"/>
    <w:rsid w:val="2E4269B1"/>
    <w:rsid w:val="2E6618E5"/>
    <w:rsid w:val="2EA1006E"/>
    <w:rsid w:val="2EA25052"/>
    <w:rsid w:val="2EAF48C6"/>
    <w:rsid w:val="2EB536D8"/>
    <w:rsid w:val="2EE8623C"/>
    <w:rsid w:val="2EEC7E83"/>
    <w:rsid w:val="2EF335AC"/>
    <w:rsid w:val="2F043748"/>
    <w:rsid w:val="2F0B30A1"/>
    <w:rsid w:val="2F4B243D"/>
    <w:rsid w:val="2F522711"/>
    <w:rsid w:val="2F806B20"/>
    <w:rsid w:val="2F867577"/>
    <w:rsid w:val="2F9034C9"/>
    <w:rsid w:val="2FB70894"/>
    <w:rsid w:val="2FE7047C"/>
    <w:rsid w:val="2FF80391"/>
    <w:rsid w:val="301D5D54"/>
    <w:rsid w:val="30370228"/>
    <w:rsid w:val="3044147F"/>
    <w:rsid w:val="30690741"/>
    <w:rsid w:val="306E1479"/>
    <w:rsid w:val="30750496"/>
    <w:rsid w:val="307B30AF"/>
    <w:rsid w:val="30937A49"/>
    <w:rsid w:val="30956EBE"/>
    <w:rsid w:val="30A6777C"/>
    <w:rsid w:val="30C022A0"/>
    <w:rsid w:val="30C3381E"/>
    <w:rsid w:val="30D77998"/>
    <w:rsid w:val="31403EBD"/>
    <w:rsid w:val="31472444"/>
    <w:rsid w:val="319A7585"/>
    <w:rsid w:val="31A81316"/>
    <w:rsid w:val="31C330CE"/>
    <w:rsid w:val="31D32D7D"/>
    <w:rsid w:val="31D42917"/>
    <w:rsid w:val="32282E69"/>
    <w:rsid w:val="3237025A"/>
    <w:rsid w:val="32957AA8"/>
    <w:rsid w:val="32B1690A"/>
    <w:rsid w:val="32B44A46"/>
    <w:rsid w:val="32B73C26"/>
    <w:rsid w:val="32CF12F7"/>
    <w:rsid w:val="3309466A"/>
    <w:rsid w:val="331329E4"/>
    <w:rsid w:val="33366BF9"/>
    <w:rsid w:val="333A68C8"/>
    <w:rsid w:val="334350DC"/>
    <w:rsid w:val="334607E7"/>
    <w:rsid w:val="335465E4"/>
    <w:rsid w:val="33756B32"/>
    <w:rsid w:val="33AB3374"/>
    <w:rsid w:val="33B142B7"/>
    <w:rsid w:val="33BE20D0"/>
    <w:rsid w:val="34136F86"/>
    <w:rsid w:val="34582372"/>
    <w:rsid w:val="347822F5"/>
    <w:rsid w:val="347C6B46"/>
    <w:rsid w:val="348C61C4"/>
    <w:rsid w:val="349C1462"/>
    <w:rsid w:val="34BD7940"/>
    <w:rsid w:val="34BE5CAA"/>
    <w:rsid w:val="34D23867"/>
    <w:rsid w:val="34D4348E"/>
    <w:rsid w:val="34FD3310"/>
    <w:rsid w:val="353E4EE3"/>
    <w:rsid w:val="3587410B"/>
    <w:rsid w:val="358C4A8A"/>
    <w:rsid w:val="3596698E"/>
    <w:rsid w:val="359E03A3"/>
    <w:rsid w:val="35DB00BD"/>
    <w:rsid w:val="35EA010B"/>
    <w:rsid w:val="360B4E8E"/>
    <w:rsid w:val="36270398"/>
    <w:rsid w:val="363D08CC"/>
    <w:rsid w:val="36490D51"/>
    <w:rsid w:val="367C559F"/>
    <w:rsid w:val="369030E0"/>
    <w:rsid w:val="36932551"/>
    <w:rsid w:val="369F6D06"/>
    <w:rsid w:val="36AB1CEE"/>
    <w:rsid w:val="36CB3291"/>
    <w:rsid w:val="36D90A1F"/>
    <w:rsid w:val="36DF7E92"/>
    <w:rsid w:val="36E6312A"/>
    <w:rsid w:val="37007ED9"/>
    <w:rsid w:val="37433B9B"/>
    <w:rsid w:val="377F6D96"/>
    <w:rsid w:val="37BA1243"/>
    <w:rsid w:val="37BA4BDF"/>
    <w:rsid w:val="37BB216B"/>
    <w:rsid w:val="37BC719F"/>
    <w:rsid w:val="37E6496D"/>
    <w:rsid w:val="381973C0"/>
    <w:rsid w:val="383343FC"/>
    <w:rsid w:val="38676C8B"/>
    <w:rsid w:val="386801E6"/>
    <w:rsid w:val="38792449"/>
    <w:rsid w:val="387C2B0E"/>
    <w:rsid w:val="389C3258"/>
    <w:rsid w:val="38A3130A"/>
    <w:rsid w:val="38A5476C"/>
    <w:rsid w:val="38C01FCA"/>
    <w:rsid w:val="38CB7E89"/>
    <w:rsid w:val="38D01637"/>
    <w:rsid w:val="38D03369"/>
    <w:rsid w:val="38D4251F"/>
    <w:rsid w:val="38DC46AE"/>
    <w:rsid w:val="38E451C2"/>
    <w:rsid w:val="390312A2"/>
    <w:rsid w:val="394D7C2B"/>
    <w:rsid w:val="3952595F"/>
    <w:rsid w:val="39650E24"/>
    <w:rsid w:val="397D387E"/>
    <w:rsid w:val="398C5E72"/>
    <w:rsid w:val="39A131D7"/>
    <w:rsid w:val="39A57373"/>
    <w:rsid w:val="39C96790"/>
    <w:rsid w:val="39CB3DA8"/>
    <w:rsid w:val="39CF6825"/>
    <w:rsid w:val="39E65057"/>
    <w:rsid w:val="39F97ED3"/>
    <w:rsid w:val="3A042116"/>
    <w:rsid w:val="3A087D52"/>
    <w:rsid w:val="3A101B16"/>
    <w:rsid w:val="3A176550"/>
    <w:rsid w:val="3A2B22F7"/>
    <w:rsid w:val="3A60099C"/>
    <w:rsid w:val="3A630BD5"/>
    <w:rsid w:val="3AD3624B"/>
    <w:rsid w:val="3AEA2A44"/>
    <w:rsid w:val="3AFF2C90"/>
    <w:rsid w:val="3AFF4A73"/>
    <w:rsid w:val="3B1523C6"/>
    <w:rsid w:val="3B18752E"/>
    <w:rsid w:val="3B1D1019"/>
    <w:rsid w:val="3B207C1A"/>
    <w:rsid w:val="3B3C0357"/>
    <w:rsid w:val="3B5312FC"/>
    <w:rsid w:val="3B5A188F"/>
    <w:rsid w:val="3B703897"/>
    <w:rsid w:val="3B8F4DE7"/>
    <w:rsid w:val="3B92496B"/>
    <w:rsid w:val="3B9B2504"/>
    <w:rsid w:val="3BB368FC"/>
    <w:rsid w:val="3BC232AE"/>
    <w:rsid w:val="3BD115E3"/>
    <w:rsid w:val="3BF27BCF"/>
    <w:rsid w:val="3BFF69F6"/>
    <w:rsid w:val="3C17152E"/>
    <w:rsid w:val="3C29301A"/>
    <w:rsid w:val="3C2A1CC6"/>
    <w:rsid w:val="3C2A3907"/>
    <w:rsid w:val="3C362055"/>
    <w:rsid w:val="3C3C2314"/>
    <w:rsid w:val="3C5B5487"/>
    <w:rsid w:val="3C805A69"/>
    <w:rsid w:val="3C82673E"/>
    <w:rsid w:val="3C890B40"/>
    <w:rsid w:val="3C9A75CD"/>
    <w:rsid w:val="3CA662E8"/>
    <w:rsid w:val="3CAC5196"/>
    <w:rsid w:val="3CBA6CAE"/>
    <w:rsid w:val="3CE257BB"/>
    <w:rsid w:val="3D2A52D3"/>
    <w:rsid w:val="3D347300"/>
    <w:rsid w:val="3D371CE2"/>
    <w:rsid w:val="3D4C44DA"/>
    <w:rsid w:val="3D4E29CB"/>
    <w:rsid w:val="3D780066"/>
    <w:rsid w:val="3DC37E52"/>
    <w:rsid w:val="3DE30437"/>
    <w:rsid w:val="3DE50A89"/>
    <w:rsid w:val="3DEF2AAF"/>
    <w:rsid w:val="3E03718C"/>
    <w:rsid w:val="3E400433"/>
    <w:rsid w:val="3E42243E"/>
    <w:rsid w:val="3E48647A"/>
    <w:rsid w:val="3E5A1D55"/>
    <w:rsid w:val="3E5C1C90"/>
    <w:rsid w:val="3E680ED2"/>
    <w:rsid w:val="3EB916EC"/>
    <w:rsid w:val="3ECA01A1"/>
    <w:rsid w:val="3ED55C02"/>
    <w:rsid w:val="3EEB0A50"/>
    <w:rsid w:val="3F063EFF"/>
    <w:rsid w:val="3F095A8D"/>
    <w:rsid w:val="3F100D38"/>
    <w:rsid w:val="3F15473E"/>
    <w:rsid w:val="3F1B4431"/>
    <w:rsid w:val="3F5844C5"/>
    <w:rsid w:val="3FC7317D"/>
    <w:rsid w:val="3FEF086B"/>
    <w:rsid w:val="3FF74BF3"/>
    <w:rsid w:val="4001677D"/>
    <w:rsid w:val="400C09CA"/>
    <w:rsid w:val="400F0985"/>
    <w:rsid w:val="40286715"/>
    <w:rsid w:val="40354C7B"/>
    <w:rsid w:val="40380095"/>
    <w:rsid w:val="403C7F31"/>
    <w:rsid w:val="40577FC9"/>
    <w:rsid w:val="40F5414B"/>
    <w:rsid w:val="40FF4AF1"/>
    <w:rsid w:val="41083B3B"/>
    <w:rsid w:val="41124EE6"/>
    <w:rsid w:val="411C1436"/>
    <w:rsid w:val="412F3326"/>
    <w:rsid w:val="414B7682"/>
    <w:rsid w:val="415228BA"/>
    <w:rsid w:val="41760D1B"/>
    <w:rsid w:val="417C58E1"/>
    <w:rsid w:val="41A814A5"/>
    <w:rsid w:val="41AB3120"/>
    <w:rsid w:val="41DF489C"/>
    <w:rsid w:val="41F84FF7"/>
    <w:rsid w:val="427A2817"/>
    <w:rsid w:val="42A0234B"/>
    <w:rsid w:val="42B86496"/>
    <w:rsid w:val="42C35217"/>
    <w:rsid w:val="42D7188C"/>
    <w:rsid w:val="42E81CAF"/>
    <w:rsid w:val="43023750"/>
    <w:rsid w:val="430516EA"/>
    <w:rsid w:val="430B1EFC"/>
    <w:rsid w:val="4317322A"/>
    <w:rsid w:val="432E6D6F"/>
    <w:rsid w:val="43305C80"/>
    <w:rsid w:val="435412B8"/>
    <w:rsid w:val="43666252"/>
    <w:rsid w:val="43783D27"/>
    <w:rsid w:val="4390141C"/>
    <w:rsid w:val="43B5765B"/>
    <w:rsid w:val="445648C3"/>
    <w:rsid w:val="44647472"/>
    <w:rsid w:val="44666302"/>
    <w:rsid w:val="44A70428"/>
    <w:rsid w:val="44A72F03"/>
    <w:rsid w:val="44AD0C81"/>
    <w:rsid w:val="45022B85"/>
    <w:rsid w:val="45022D5F"/>
    <w:rsid w:val="45140D01"/>
    <w:rsid w:val="45190D07"/>
    <w:rsid w:val="451E281E"/>
    <w:rsid w:val="452A085B"/>
    <w:rsid w:val="452C72B7"/>
    <w:rsid w:val="45420324"/>
    <w:rsid w:val="45571DF7"/>
    <w:rsid w:val="455E25D1"/>
    <w:rsid w:val="4563705D"/>
    <w:rsid w:val="45904ACF"/>
    <w:rsid w:val="45B10782"/>
    <w:rsid w:val="45CC05D8"/>
    <w:rsid w:val="45F95B4D"/>
    <w:rsid w:val="460452A0"/>
    <w:rsid w:val="46135F32"/>
    <w:rsid w:val="46262176"/>
    <w:rsid w:val="464F5CAD"/>
    <w:rsid w:val="4680445C"/>
    <w:rsid w:val="468E4477"/>
    <w:rsid w:val="46911CEA"/>
    <w:rsid w:val="46922D19"/>
    <w:rsid w:val="46D701E1"/>
    <w:rsid w:val="46DB5B28"/>
    <w:rsid w:val="46DE7987"/>
    <w:rsid w:val="47176D8E"/>
    <w:rsid w:val="4742191A"/>
    <w:rsid w:val="474E1E6C"/>
    <w:rsid w:val="47BD2E26"/>
    <w:rsid w:val="47C460CD"/>
    <w:rsid w:val="47ED7CEE"/>
    <w:rsid w:val="48345216"/>
    <w:rsid w:val="483C4B9E"/>
    <w:rsid w:val="48447159"/>
    <w:rsid w:val="48677222"/>
    <w:rsid w:val="486977C7"/>
    <w:rsid w:val="48A56E07"/>
    <w:rsid w:val="48D46BC0"/>
    <w:rsid w:val="48E25783"/>
    <w:rsid w:val="48E55B55"/>
    <w:rsid w:val="490B6C14"/>
    <w:rsid w:val="49343FC1"/>
    <w:rsid w:val="49626EB7"/>
    <w:rsid w:val="49742590"/>
    <w:rsid w:val="497547CF"/>
    <w:rsid w:val="49B358F7"/>
    <w:rsid w:val="49D87E02"/>
    <w:rsid w:val="49DA4936"/>
    <w:rsid w:val="49E1067B"/>
    <w:rsid w:val="49E65E9A"/>
    <w:rsid w:val="49F038BD"/>
    <w:rsid w:val="4A0C6576"/>
    <w:rsid w:val="4A131739"/>
    <w:rsid w:val="4A3F1C6E"/>
    <w:rsid w:val="4A42520C"/>
    <w:rsid w:val="4A5C7A81"/>
    <w:rsid w:val="4A7953F9"/>
    <w:rsid w:val="4A7F7023"/>
    <w:rsid w:val="4A833CCA"/>
    <w:rsid w:val="4A9B20E2"/>
    <w:rsid w:val="4AA27E36"/>
    <w:rsid w:val="4ADF6DFE"/>
    <w:rsid w:val="4ADF7733"/>
    <w:rsid w:val="4AF220B2"/>
    <w:rsid w:val="4B0D3F9B"/>
    <w:rsid w:val="4B1469C0"/>
    <w:rsid w:val="4B2765EA"/>
    <w:rsid w:val="4B2B6CF9"/>
    <w:rsid w:val="4B6005EF"/>
    <w:rsid w:val="4B7F3FBA"/>
    <w:rsid w:val="4B8128F4"/>
    <w:rsid w:val="4B83292A"/>
    <w:rsid w:val="4BD52A4E"/>
    <w:rsid w:val="4BEC5326"/>
    <w:rsid w:val="4C1A29A2"/>
    <w:rsid w:val="4C242FF7"/>
    <w:rsid w:val="4C755D10"/>
    <w:rsid w:val="4CB85404"/>
    <w:rsid w:val="4CC42BA6"/>
    <w:rsid w:val="4CD452CB"/>
    <w:rsid w:val="4CEB1DC3"/>
    <w:rsid w:val="4D04384B"/>
    <w:rsid w:val="4D2D65AC"/>
    <w:rsid w:val="4D3223EC"/>
    <w:rsid w:val="4D7057DD"/>
    <w:rsid w:val="4D98120C"/>
    <w:rsid w:val="4DA402B8"/>
    <w:rsid w:val="4DA60964"/>
    <w:rsid w:val="4DC32884"/>
    <w:rsid w:val="4DD64716"/>
    <w:rsid w:val="4DE37B55"/>
    <w:rsid w:val="4DF54F33"/>
    <w:rsid w:val="4DF83ADA"/>
    <w:rsid w:val="4DFE7DDE"/>
    <w:rsid w:val="4E472E47"/>
    <w:rsid w:val="4E4B4187"/>
    <w:rsid w:val="4E4E2195"/>
    <w:rsid w:val="4E581E19"/>
    <w:rsid w:val="4E797966"/>
    <w:rsid w:val="4E896E0B"/>
    <w:rsid w:val="4E897021"/>
    <w:rsid w:val="4E962538"/>
    <w:rsid w:val="4EA0534F"/>
    <w:rsid w:val="4EBD7110"/>
    <w:rsid w:val="4EDB02A0"/>
    <w:rsid w:val="4F074EBE"/>
    <w:rsid w:val="4F2A7373"/>
    <w:rsid w:val="4F490012"/>
    <w:rsid w:val="4F55325D"/>
    <w:rsid w:val="4F585C8E"/>
    <w:rsid w:val="4F655F44"/>
    <w:rsid w:val="4FC75E86"/>
    <w:rsid w:val="4FC9625A"/>
    <w:rsid w:val="4FD219BF"/>
    <w:rsid w:val="4FDD7954"/>
    <w:rsid w:val="4FE40265"/>
    <w:rsid w:val="4FF73DCE"/>
    <w:rsid w:val="50265478"/>
    <w:rsid w:val="502D5AAE"/>
    <w:rsid w:val="502E108E"/>
    <w:rsid w:val="5038327F"/>
    <w:rsid w:val="504F5FB3"/>
    <w:rsid w:val="505F01DE"/>
    <w:rsid w:val="507F2019"/>
    <w:rsid w:val="5085256B"/>
    <w:rsid w:val="50883443"/>
    <w:rsid w:val="50B264B8"/>
    <w:rsid w:val="50DE6724"/>
    <w:rsid w:val="510C3D6B"/>
    <w:rsid w:val="512E73AD"/>
    <w:rsid w:val="51302C35"/>
    <w:rsid w:val="51343071"/>
    <w:rsid w:val="513B7EA1"/>
    <w:rsid w:val="513F6963"/>
    <w:rsid w:val="514465DA"/>
    <w:rsid w:val="51523D7D"/>
    <w:rsid w:val="51725C58"/>
    <w:rsid w:val="518A24A0"/>
    <w:rsid w:val="519F5DF6"/>
    <w:rsid w:val="51AD5279"/>
    <w:rsid w:val="51D120F2"/>
    <w:rsid w:val="51D62467"/>
    <w:rsid w:val="51DD04CA"/>
    <w:rsid w:val="521D5527"/>
    <w:rsid w:val="522F4687"/>
    <w:rsid w:val="527C4A2D"/>
    <w:rsid w:val="5283494B"/>
    <w:rsid w:val="52B07B8F"/>
    <w:rsid w:val="52DA1F67"/>
    <w:rsid w:val="52DC1233"/>
    <w:rsid w:val="53260AAA"/>
    <w:rsid w:val="53500D51"/>
    <w:rsid w:val="5350481B"/>
    <w:rsid w:val="53805D67"/>
    <w:rsid w:val="539E17A0"/>
    <w:rsid w:val="53B532CF"/>
    <w:rsid w:val="53C515E2"/>
    <w:rsid w:val="53CC502D"/>
    <w:rsid w:val="53DD2A43"/>
    <w:rsid w:val="53F45053"/>
    <w:rsid w:val="53FC01FB"/>
    <w:rsid w:val="54044960"/>
    <w:rsid w:val="54054510"/>
    <w:rsid w:val="541226B6"/>
    <w:rsid w:val="543C54DD"/>
    <w:rsid w:val="54623D30"/>
    <w:rsid w:val="546663A5"/>
    <w:rsid w:val="54684AF8"/>
    <w:rsid w:val="54795CA3"/>
    <w:rsid w:val="548B70F8"/>
    <w:rsid w:val="54952DD2"/>
    <w:rsid w:val="54985012"/>
    <w:rsid w:val="54AA6BFF"/>
    <w:rsid w:val="54AD2A7D"/>
    <w:rsid w:val="54B70DF0"/>
    <w:rsid w:val="54F66DF0"/>
    <w:rsid w:val="55044115"/>
    <w:rsid w:val="55102B21"/>
    <w:rsid w:val="551A04D3"/>
    <w:rsid w:val="552247B5"/>
    <w:rsid w:val="553C20AD"/>
    <w:rsid w:val="557D0674"/>
    <w:rsid w:val="55967510"/>
    <w:rsid w:val="55B436E3"/>
    <w:rsid w:val="55D93EB7"/>
    <w:rsid w:val="55E75EB7"/>
    <w:rsid w:val="56024BA5"/>
    <w:rsid w:val="562B749E"/>
    <w:rsid w:val="564B2680"/>
    <w:rsid w:val="565D465B"/>
    <w:rsid w:val="566D4B4A"/>
    <w:rsid w:val="5677609D"/>
    <w:rsid w:val="56945F1A"/>
    <w:rsid w:val="56B52743"/>
    <w:rsid w:val="570074C9"/>
    <w:rsid w:val="57413838"/>
    <w:rsid w:val="574B7586"/>
    <w:rsid w:val="574F23F9"/>
    <w:rsid w:val="576C7516"/>
    <w:rsid w:val="57875755"/>
    <w:rsid w:val="579F170B"/>
    <w:rsid w:val="57AB4FF3"/>
    <w:rsid w:val="57DE4B2F"/>
    <w:rsid w:val="580F0828"/>
    <w:rsid w:val="581B2ACA"/>
    <w:rsid w:val="58534B28"/>
    <w:rsid w:val="588C5CB7"/>
    <w:rsid w:val="589B6EE0"/>
    <w:rsid w:val="58AB3A34"/>
    <w:rsid w:val="58E24023"/>
    <w:rsid w:val="58E43783"/>
    <w:rsid w:val="58E86982"/>
    <w:rsid w:val="58F55A69"/>
    <w:rsid w:val="58FB55FE"/>
    <w:rsid w:val="592379E6"/>
    <w:rsid w:val="59253085"/>
    <w:rsid w:val="592A1998"/>
    <w:rsid w:val="5969395A"/>
    <w:rsid w:val="598125F8"/>
    <w:rsid w:val="59882FF0"/>
    <w:rsid w:val="59A60F5A"/>
    <w:rsid w:val="59B94CC4"/>
    <w:rsid w:val="59BB36C4"/>
    <w:rsid w:val="59E52814"/>
    <w:rsid w:val="5A091FF8"/>
    <w:rsid w:val="5A0F4F36"/>
    <w:rsid w:val="5A1541AB"/>
    <w:rsid w:val="5A1A1EDB"/>
    <w:rsid w:val="5A2A4B14"/>
    <w:rsid w:val="5A2E1CC0"/>
    <w:rsid w:val="5A2F59C3"/>
    <w:rsid w:val="5A5B5B65"/>
    <w:rsid w:val="5A7C1EC2"/>
    <w:rsid w:val="5AD71A23"/>
    <w:rsid w:val="5ADC40E2"/>
    <w:rsid w:val="5AEF3DDE"/>
    <w:rsid w:val="5AF8583C"/>
    <w:rsid w:val="5AFD2105"/>
    <w:rsid w:val="5B01360B"/>
    <w:rsid w:val="5B14044F"/>
    <w:rsid w:val="5B5C33C7"/>
    <w:rsid w:val="5B846642"/>
    <w:rsid w:val="5B9345DE"/>
    <w:rsid w:val="5B94158A"/>
    <w:rsid w:val="5B9D0974"/>
    <w:rsid w:val="5BBD1564"/>
    <w:rsid w:val="5BC430F1"/>
    <w:rsid w:val="5BCF552A"/>
    <w:rsid w:val="5BE50578"/>
    <w:rsid w:val="5BEC3B59"/>
    <w:rsid w:val="5C1652F9"/>
    <w:rsid w:val="5C4C26D6"/>
    <w:rsid w:val="5C8D77D5"/>
    <w:rsid w:val="5C9C4FCB"/>
    <w:rsid w:val="5CBD3922"/>
    <w:rsid w:val="5CD71012"/>
    <w:rsid w:val="5CE2128D"/>
    <w:rsid w:val="5CEF72BA"/>
    <w:rsid w:val="5CF70434"/>
    <w:rsid w:val="5D1854CD"/>
    <w:rsid w:val="5D211DB5"/>
    <w:rsid w:val="5D553A95"/>
    <w:rsid w:val="5D62009E"/>
    <w:rsid w:val="5D6A7B0E"/>
    <w:rsid w:val="5D994942"/>
    <w:rsid w:val="5D997FD9"/>
    <w:rsid w:val="5DA3557D"/>
    <w:rsid w:val="5DB700E1"/>
    <w:rsid w:val="5DBB2B4B"/>
    <w:rsid w:val="5DD15589"/>
    <w:rsid w:val="5DD34AD1"/>
    <w:rsid w:val="5DD80051"/>
    <w:rsid w:val="5DD95F90"/>
    <w:rsid w:val="5DF62F70"/>
    <w:rsid w:val="5E20798B"/>
    <w:rsid w:val="5E356F1F"/>
    <w:rsid w:val="5E4D4722"/>
    <w:rsid w:val="5E6E6249"/>
    <w:rsid w:val="5E7423B8"/>
    <w:rsid w:val="5E7B60DB"/>
    <w:rsid w:val="5E8A188B"/>
    <w:rsid w:val="5EAB3CC7"/>
    <w:rsid w:val="5EB82B7B"/>
    <w:rsid w:val="5EC42611"/>
    <w:rsid w:val="5EF126C0"/>
    <w:rsid w:val="5F0279C4"/>
    <w:rsid w:val="5F090A89"/>
    <w:rsid w:val="5F0D28BD"/>
    <w:rsid w:val="5F3E6C4E"/>
    <w:rsid w:val="5F4D22BA"/>
    <w:rsid w:val="5F65734B"/>
    <w:rsid w:val="5F99442C"/>
    <w:rsid w:val="5FB742C5"/>
    <w:rsid w:val="5FBC4017"/>
    <w:rsid w:val="5FDA1819"/>
    <w:rsid w:val="5FEE24CA"/>
    <w:rsid w:val="600B4EFB"/>
    <w:rsid w:val="601F4BAF"/>
    <w:rsid w:val="602045A6"/>
    <w:rsid w:val="604A1623"/>
    <w:rsid w:val="604A23F9"/>
    <w:rsid w:val="606326E4"/>
    <w:rsid w:val="60637F52"/>
    <w:rsid w:val="60931426"/>
    <w:rsid w:val="60A0423D"/>
    <w:rsid w:val="60BC0D77"/>
    <w:rsid w:val="610C4ACE"/>
    <w:rsid w:val="612D05BB"/>
    <w:rsid w:val="619418EC"/>
    <w:rsid w:val="61AC418E"/>
    <w:rsid w:val="61D03DA9"/>
    <w:rsid w:val="61E41603"/>
    <w:rsid w:val="62154DF7"/>
    <w:rsid w:val="6216083E"/>
    <w:rsid w:val="62647C14"/>
    <w:rsid w:val="626F7F7D"/>
    <w:rsid w:val="62A139F3"/>
    <w:rsid w:val="62A6516A"/>
    <w:rsid w:val="62AE41D6"/>
    <w:rsid w:val="62CF32E1"/>
    <w:rsid w:val="62D5076A"/>
    <w:rsid w:val="62DE49DD"/>
    <w:rsid w:val="62E515D1"/>
    <w:rsid w:val="62ED6AB2"/>
    <w:rsid w:val="62F67FC2"/>
    <w:rsid w:val="62F76189"/>
    <w:rsid w:val="630C516B"/>
    <w:rsid w:val="6336142F"/>
    <w:rsid w:val="634351B6"/>
    <w:rsid w:val="6387254A"/>
    <w:rsid w:val="638D4F38"/>
    <w:rsid w:val="63BB29E2"/>
    <w:rsid w:val="63EE7BC2"/>
    <w:rsid w:val="64116F3E"/>
    <w:rsid w:val="641D2495"/>
    <w:rsid w:val="643B1BC5"/>
    <w:rsid w:val="649B63D6"/>
    <w:rsid w:val="64A70088"/>
    <w:rsid w:val="64B96D77"/>
    <w:rsid w:val="64E05C3C"/>
    <w:rsid w:val="65031AFB"/>
    <w:rsid w:val="65164C0C"/>
    <w:rsid w:val="65181CEF"/>
    <w:rsid w:val="65293523"/>
    <w:rsid w:val="65415399"/>
    <w:rsid w:val="654A176D"/>
    <w:rsid w:val="656475AC"/>
    <w:rsid w:val="656D04E3"/>
    <w:rsid w:val="656E012E"/>
    <w:rsid w:val="65875B16"/>
    <w:rsid w:val="658E4991"/>
    <w:rsid w:val="65B449B7"/>
    <w:rsid w:val="65C308A8"/>
    <w:rsid w:val="65D163E1"/>
    <w:rsid w:val="66072ECE"/>
    <w:rsid w:val="660F474C"/>
    <w:rsid w:val="661A5498"/>
    <w:rsid w:val="66540846"/>
    <w:rsid w:val="668506CA"/>
    <w:rsid w:val="668A3617"/>
    <w:rsid w:val="668C5F71"/>
    <w:rsid w:val="668C6957"/>
    <w:rsid w:val="66981E41"/>
    <w:rsid w:val="66AF0431"/>
    <w:rsid w:val="66C73865"/>
    <w:rsid w:val="66D24120"/>
    <w:rsid w:val="66D90E7D"/>
    <w:rsid w:val="66E069BA"/>
    <w:rsid w:val="66EF7A62"/>
    <w:rsid w:val="66F31B42"/>
    <w:rsid w:val="67386679"/>
    <w:rsid w:val="674D3F5C"/>
    <w:rsid w:val="67A6286D"/>
    <w:rsid w:val="67B93CA4"/>
    <w:rsid w:val="67DA4B2A"/>
    <w:rsid w:val="6802710A"/>
    <w:rsid w:val="680A47AA"/>
    <w:rsid w:val="680C0846"/>
    <w:rsid w:val="68317660"/>
    <w:rsid w:val="68425993"/>
    <w:rsid w:val="68C10D9F"/>
    <w:rsid w:val="690872DE"/>
    <w:rsid w:val="69354EE3"/>
    <w:rsid w:val="695E1C38"/>
    <w:rsid w:val="69681D89"/>
    <w:rsid w:val="699604A0"/>
    <w:rsid w:val="69981BB6"/>
    <w:rsid w:val="699C7570"/>
    <w:rsid w:val="69A75110"/>
    <w:rsid w:val="69AF003E"/>
    <w:rsid w:val="69C02956"/>
    <w:rsid w:val="69CD52B0"/>
    <w:rsid w:val="69DC2843"/>
    <w:rsid w:val="69F830AA"/>
    <w:rsid w:val="6A085CBE"/>
    <w:rsid w:val="6A153A67"/>
    <w:rsid w:val="6A3F352D"/>
    <w:rsid w:val="6A4C344E"/>
    <w:rsid w:val="6A4E7A1A"/>
    <w:rsid w:val="6A5F3D6D"/>
    <w:rsid w:val="6A855576"/>
    <w:rsid w:val="6AC16985"/>
    <w:rsid w:val="6AFE36E2"/>
    <w:rsid w:val="6B185C86"/>
    <w:rsid w:val="6B2D3621"/>
    <w:rsid w:val="6B575AA1"/>
    <w:rsid w:val="6B860B2F"/>
    <w:rsid w:val="6B940198"/>
    <w:rsid w:val="6BD541E5"/>
    <w:rsid w:val="6BD61A29"/>
    <w:rsid w:val="6BD96D03"/>
    <w:rsid w:val="6BDC24CE"/>
    <w:rsid w:val="6C12377A"/>
    <w:rsid w:val="6C226508"/>
    <w:rsid w:val="6C2D1DCF"/>
    <w:rsid w:val="6C4930E9"/>
    <w:rsid w:val="6C62779B"/>
    <w:rsid w:val="6C861C34"/>
    <w:rsid w:val="6C9838C1"/>
    <w:rsid w:val="6D110D3B"/>
    <w:rsid w:val="6D8110C5"/>
    <w:rsid w:val="6D8B4F45"/>
    <w:rsid w:val="6D9E3F65"/>
    <w:rsid w:val="6DA0283D"/>
    <w:rsid w:val="6DAD6052"/>
    <w:rsid w:val="6E166BAF"/>
    <w:rsid w:val="6E185853"/>
    <w:rsid w:val="6E344AD2"/>
    <w:rsid w:val="6E53210F"/>
    <w:rsid w:val="6E603223"/>
    <w:rsid w:val="6E716270"/>
    <w:rsid w:val="6E8639DF"/>
    <w:rsid w:val="6E962605"/>
    <w:rsid w:val="6ED11026"/>
    <w:rsid w:val="6EFA4931"/>
    <w:rsid w:val="6F032C16"/>
    <w:rsid w:val="6F0C63C1"/>
    <w:rsid w:val="6F1A4A00"/>
    <w:rsid w:val="6F265DA7"/>
    <w:rsid w:val="6F57340B"/>
    <w:rsid w:val="6F69715D"/>
    <w:rsid w:val="6F6D5164"/>
    <w:rsid w:val="6F7F0787"/>
    <w:rsid w:val="6F8A2CEF"/>
    <w:rsid w:val="6FA11C8D"/>
    <w:rsid w:val="6FAB14AC"/>
    <w:rsid w:val="6FB40867"/>
    <w:rsid w:val="6FBA768F"/>
    <w:rsid w:val="6FBE4BE4"/>
    <w:rsid w:val="6FD55A73"/>
    <w:rsid w:val="6FD741DB"/>
    <w:rsid w:val="6FE66028"/>
    <w:rsid w:val="6FF834F9"/>
    <w:rsid w:val="701D72C3"/>
    <w:rsid w:val="703C6BD1"/>
    <w:rsid w:val="705708DB"/>
    <w:rsid w:val="705848F7"/>
    <w:rsid w:val="70695608"/>
    <w:rsid w:val="708158A8"/>
    <w:rsid w:val="708563E7"/>
    <w:rsid w:val="708A2EFA"/>
    <w:rsid w:val="70D7457B"/>
    <w:rsid w:val="70FE2B1B"/>
    <w:rsid w:val="710366DA"/>
    <w:rsid w:val="71102171"/>
    <w:rsid w:val="71236204"/>
    <w:rsid w:val="71251EAB"/>
    <w:rsid w:val="71280582"/>
    <w:rsid w:val="71443908"/>
    <w:rsid w:val="71767BA9"/>
    <w:rsid w:val="719240DC"/>
    <w:rsid w:val="71A617F5"/>
    <w:rsid w:val="71B11502"/>
    <w:rsid w:val="71CF1689"/>
    <w:rsid w:val="71D45FDB"/>
    <w:rsid w:val="71DC1DC3"/>
    <w:rsid w:val="71EF13EC"/>
    <w:rsid w:val="720037E0"/>
    <w:rsid w:val="72307E9B"/>
    <w:rsid w:val="723776B9"/>
    <w:rsid w:val="723C6FE6"/>
    <w:rsid w:val="7243144C"/>
    <w:rsid w:val="72675B00"/>
    <w:rsid w:val="7274672F"/>
    <w:rsid w:val="729D55E2"/>
    <w:rsid w:val="72BA5DEC"/>
    <w:rsid w:val="72BB1D45"/>
    <w:rsid w:val="72D71F6D"/>
    <w:rsid w:val="72DC485D"/>
    <w:rsid w:val="72F0419A"/>
    <w:rsid w:val="730C528C"/>
    <w:rsid w:val="73103064"/>
    <w:rsid w:val="731D0112"/>
    <w:rsid w:val="732B0918"/>
    <w:rsid w:val="73315A5F"/>
    <w:rsid w:val="734F32B4"/>
    <w:rsid w:val="736154DB"/>
    <w:rsid w:val="736A21A7"/>
    <w:rsid w:val="737C3F12"/>
    <w:rsid w:val="738F170E"/>
    <w:rsid w:val="73A71F64"/>
    <w:rsid w:val="73CA79AA"/>
    <w:rsid w:val="73DA2C89"/>
    <w:rsid w:val="741061B9"/>
    <w:rsid w:val="743B1556"/>
    <w:rsid w:val="74555F51"/>
    <w:rsid w:val="74805CED"/>
    <w:rsid w:val="74980BD6"/>
    <w:rsid w:val="749A0D61"/>
    <w:rsid w:val="74B54A08"/>
    <w:rsid w:val="74C6370C"/>
    <w:rsid w:val="74D75CB7"/>
    <w:rsid w:val="74E101A1"/>
    <w:rsid w:val="74E36AFB"/>
    <w:rsid w:val="750B14D3"/>
    <w:rsid w:val="751044D6"/>
    <w:rsid w:val="75241A48"/>
    <w:rsid w:val="753B6235"/>
    <w:rsid w:val="753C5E12"/>
    <w:rsid w:val="754C75A2"/>
    <w:rsid w:val="759253B8"/>
    <w:rsid w:val="759D13E0"/>
    <w:rsid w:val="75FE1688"/>
    <w:rsid w:val="76615ED4"/>
    <w:rsid w:val="768F1066"/>
    <w:rsid w:val="769B64F7"/>
    <w:rsid w:val="76A606E2"/>
    <w:rsid w:val="76C15146"/>
    <w:rsid w:val="76E3019D"/>
    <w:rsid w:val="76FF6F67"/>
    <w:rsid w:val="77060C27"/>
    <w:rsid w:val="7748156F"/>
    <w:rsid w:val="774A252E"/>
    <w:rsid w:val="77581AA8"/>
    <w:rsid w:val="77625E38"/>
    <w:rsid w:val="77901BB9"/>
    <w:rsid w:val="7793231D"/>
    <w:rsid w:val="77B576D1"/>
    <w:rsid w:val="77F50EA0"/>
    <w:rsid w:val="780F1937"/>
    <w:rsid w:val="7812493C"/>
    <w:rsid w:val="781E08EF"/>
    <w:rsid w:val="78326CDB"/>
    <w:rsid w:val="78DA259B"/>
    <w:rsid w:val="78DC3EBE"/>
    <w:rsid w:val="78DD2BDC"/>
    <w:rsid w:val="791D2B9A"/>
    <w:rsid w:val="791D4884"/>
    <w:rsid w:val="79243E4D"/>
    <w:rsid w:val="79361073"/>
    <w:rsid w:val="79444F92"/>
    <w:rsid w:val="79637803"/>
    <w:rsid w:val="79754EDE"/>
    <w:rsid w:val="79962469"/>
    <w:rsid w:val="79A37786"/>
    <w:rsid w:val="79AA5728"/>
    <w:rsid w:val="79C0707A"/>
    <w:rsid w:val="79C40109"/>
    <w:rsid w:val="7A406248"/>
    <w:rsid w:val="7A895323"/>
    <w:rsid w:val="7AA716F4"/>
    <w:rsid w:val="7AC027B5"/>
    <w:rsid w:val="7AF2461F"/>
    <w:rsid w:val="7AF36489"/>
    <w:rsid w:val="7B0C637C"/>
    <w:rsid w:val="7B37514D"/>
    <w:rsid w:val="7B4D1E6F"/>
    <w:rsid w:val="7B7F35A7"/>
    <w:rsid w:val="7BBD725D"/>
    <w:rsid w:val="7C8700E6"/>
    <w:rsid w:val="7C9C3988"/>
    <w:rsid w:val="7CA35304"/>
    <w:rsid w:val="7CA722E8"/>
    <w:rsid w:val="7CAF2272"/>
    <w:rsid w:val="7CC85893"/>
    <w:rsid w:val="7CD62CB7"/>
    <w:rsid w:val="7CDC2114"/>
    <w:rsid w:val="7CE62CF7"/>
    <w:rsid w:val="7CEE274A"/>
    <w:rsid w:val="7CF61F92"/>
    <w:rsid w:val="7D2379CC"/>
    <w:rsid w:val="7D3540BD"/>
    <w:rsid w:val="7D463477"/>
    <w:rsid w:val="7D4E0B4C"/>
    <w:rsid w:val="7D752A04"/>
    <w:rsid w:val="7D9F5F86"/>
    <w:rsid w:val="7DA774CB"/>
    <w:rsid w:val="7DAE2D99"/>
    <w:rsid w:val="7DC6348F"/>
    <w:rsid w:val="7DEF3C6D"/>
    <w:rsid w:val="7E531D4D"/>
    <w:rsid w:val="7E5A432D"/>
    <w:rsid w:val="7E6873EC"/>
    <w:rsid w:val="7E7D27AD"/>
    <w:rsid w:val="7EA34112"/>
    <w:rsid w:val="7EA97B31"/>
    <w:rsid w:val="7EBD4526"/>
    <w:rsid w:val="7ECA3B2F"/>
    <w:rsid w:val="7EE16A0A"/>
    <w:rsid w:val="7EE53AF8"/>
    <w:rsid w:val="7EF379BC"/>
    <w:rsid w:val="7F032706"/>
    <w:rsid w:val="7F19502E"/>
    <w:rsid w:val="7F1E3B76"/>
    <w:rsid w:val="7F361298"/>
    <w:rsid w:val="7F571760"/>
    <w:rsid w:val="7F7346E1"/>
    <w:rsid w:val="7F816D28"/>
    <w:rsid w:val="7F8D133C"/>
    <w:rsid w:val="7F9A7CFE"/>
    <w:rsid w:val="7FE64714"/>
    <w:rsid w:val="7FF10B9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qFormat="1" w:uiPriority="99"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qFormat="1" w:uiPriority="99"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uiPriority="0" w:name="Body Text 2"/>
    <w:lsdException w:qFormat="1" w:unhideWhenUsed="0" w:uiPriority="0" w:semiHidden="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qFormat/>
    <w:uiPriority w:val="0"/>
    <w:pPr>
      <w:keepNext/>
      <w:keepLines/>
      <w:spacing w:before="340" w:after="330" w:line="576" w:lineRule="auto"/>
      <w:outlineLvl w:val="0"/>
    </w:pPr>
    <w:rPr>
      <w:rFonts w:ascii="Times New Roman" w:hAnsi="Times New Roman"/>
      <w:b/>
      <w:kern w:val="44"/>
      <w:sz w:val="44"/>
      <w:szCs w:val="20"/>
    </w:rPr>
  </w:style>
  <w:style w:type="paragraph" w:styleId="5">
    <w:name w:val="heading 2"/>
    <w:basedOn w:val="1"/>
    <w:next w:val="1"/>
    <w:qFormat/>
    <w:uiPriority w:val="0"/>
    <w:pPr>
      <w:keepNext/>
      <w:keepLines/>
      <w:spacing w:before="260" w:after="260" w:line="412" w:lineRule="auto"/>
      <w:outlineLvl w:val="1"/>
    </w:pPr>
    <w:rPr>
      <w:rFonts w:ascii="Arial" w:hAnsi="Arial" w:eastAsia="黑体"/>
      <w:b/>
      <w:sz w:val="32"/>
      <w:szCs w:val="20"/>
    </w:rPr>
  </w:style>
  <w:style w:type="paragraph" w:styleId="6">
    <w:name w:val="heading 3"/>
    <w:basedOn w:val="1"/>
    <w:next w:val="1"/>
    <w:link w:val="50"/>
    <w:qFormat/>
    <w:uiPriority w:val="0"/>
    <w:pPr>
      <w:keepNext/>
      <w:keepLines/>
      <w:spacing w:before="260" w:after="260" w:line="412" w:lineRule="auto"/>
      <w:ind w:firstLine="49" w:firstLineChars="49"/>
      <w:outlineLvl w:val="2"/>
    </w:pPr>
    <w:rPr>
      <w:rFonts w:ascii="黑体" w:eastAsia="黑体"/>
      <w:sz w:val="28"/>
      <w:szCs w:val="20"/>
    </w:rPr>
  </w:style>
  <w:style w:type="paragraph" w:styleId="7">
    <w:name w:val="heading 4"/>
    <w:basedOn w:val="1"/>
    <w:next w:val="1"/>
    <w:qFormat/>
    <w:uiPriority w:val="0"/>
    <w:pPr>
      <w:keepNext/>
      <w:keepLines/>
      <w:spacing w:before="120" w:after="120" w:line="360" w:lineRule="auto"/>
      <w:ind w:firstLine="420" w:firstLineChars="200"/>
      <w:outlineLvl w:val="3"/>
    </w:pPr>
    <w:rPr>
      <w:rFonts w:ascii="Arial" w:hAnsi="Arial" w:eastAsia="黑体"/>
      <w:bCs/>
      <w:szCs w:val="28"/>
    </w:rPr>
  </w:style>
  <w:style w:type="character" w:default="1" w:styleId="33">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tabs>
        <w:tab w:val="left" w:pos="1418"/>
      </w:tabs>
      <w:autoSpaceDE w:val="0"/>
      <w:autoSpaceDN w:val="0"/>
      <w:adjustRightInd w:val="0"/>
      <w:spacing w:before="120" w:beforeLines="0" w:after="120" w:afterLines="0"/>
      <w:ind w:left="1418" w:hanging="567"/>
      <w:jc w:val="left"/>
    </w:pPr>
    <w:rPr>
      <w:rFonts w:eastAsia="PMingLiU"/>
      <w:lang w:eastAsia="zh-TW"/>
    </w:rPr>
  </w:style>
  <w:style w:type="paragraph" w:styleId="3">
    <w:name w:val="Body Text"/>
    <w:basedOn w:val="1"/>
    <w:next w:val="1"/>
    <w:qFormat/>
    <w:uiPriority w:val="0"/>
    <w:pPr>
      <w:spacing w:line="360" w:lineRule="auto"/>
    </w:pPr>
    <w:rPr>
      <w:sz w:val="24"/>
    </w:rPr>
  </w:style>
  <w:style w:type="paragraph" w:styleId="8">
    <w:name w:val="toc 7"/>
    <w:basedOn w:val="1"/>
    <w:next w:val="1"/>
    <w:qFormat/>
    <w:uiPriority w:val="39"/>
    <w:pPr>
      <w:ind w:left="1260"/>
      <w:jc w:val="left"/>
    </w:pPr>
    <w:rPr>
      <w:rFonts w:asciiTheme="minorHAnsi" w:hAnsiTheme="minorHAnsi" w:cstheme="minorHAnsi"/>
      <w:sz w:val="18"/>
      <w:szCs w:val="18"/>
    </w:rPr>
  </w:style>
  <w:style w:type="paragraph" w:styleId="9">
    <w:name w:val="Normal Indent"/>
    <w:basedOn w:val="1"/>
    <w:qFormat/>
    <w:uiPriority w:val="0"/>
    <w:pPr>
      <w:ind w:firstLine="420"/>
    </w:pPr>
  </w:style>
  <w:style w:type="paragraph" w:styleId="10">
    <w:name w:val="Document Map"/>
    <w:basedOn w:val="1"/>
    <w:qFormat/>
    <w:uiPriority w:val="0"/>
    <w:rPr>
      <w:rFonts w:ascii="宋体" w:cs="宋体"/>
      <w:sz w:val="18"/>
      <w:szCs w:val="18"/>
    </w:rPr>
  </w:style>
  <w:style w:type="paragraph" w:styleId="11">
    <w:name w:val="annotation text"/>
    <w:basedOn w:val="1"/>
    <w:link w:val="45"/>
    <w:qFormat/>
    <w:uiPriority w:val="0"/>
    <w:pPr>
      <w:jc w:val="left"/>
    </w:pPr>
    <w:rPr>
      <w:rFonts w:ascii="Times New Roman" w:hAnsi="Times New Roman"/>
      <w:szCs w:val="20"/>
    </w:rPr>
  </w:style>
  <w:style w:type="paragraph" w:styleId="12">
    <w:name w:val="Body Text 3"/>
    <w:basedOn w:val="1"/>
    <w:link w:val="46"/>
    <w:qFormat/>
    <w:uiPriority w:val="0"/>
    <w:rPr>
      <w:rFonts w:ascii="宋体"/>
      <w:sz w:val="24"/>
      <w:szCs w:val="20"/>
    </w:rPr>
  </w:style>
  <w:style w:type="paragraph" w:styleId="13">
    <w:name w:val="Body Text Indent"/>
    <w:basedOn w:val="1"/>
    <w:qFormat/>
    <w:uiPriority w:val="0"/>
    <w:pPr>
      <w:ind w:firstLine="560" w:firstLineChars="200"/>
    </w:pPr>
    <w:rPr>
      <w:rFonts w:ascii="宋体" w:hAnsi="宋体"/>
      <w:bCs/>
      <w:sz w:val="28"/>
      <w:szCs w:val="32"/>
    </w:rPr>
  </w:style>
  <w:style w:type="paragraph" w:styleId="14">
    <w:name w:val="List 2"/>
    <w:basedOn w:val="1"/>
    <w:unhideWhenUsed/>
    <w:qFormat/>
    <w:uiPriority w:val="99"/>
    <w:pPr>
      <w:widowControl w:val="0"/>
      <w:adjustRightInd w:val="0"/>
      <w:spacing w:line="312" w:lineRule="atLeast"/>
      <w:ind w:left="100" w:leftChars="200" w:hanging="200" w:hangingChars="200"/>
      <w:jc w:val="both"/>
      <w:textAlignment w:val="baseline"/>
    </w:pPr>
    <w:rPr>
      <w:rFonts w:hint="eastAsia"/>
      <w:sz w:val="21"/>
      <w:lang w:val="en-US" w:eastAsia="zh-CN" w:bidi="ar-SA"/>
    </w:rPr>
  </w:style>
  <w:style w:type="paragraph" w:styleId="15">
    <w:name w:val="toc 5"/>
    <w:basedOn w:val="1"/>
    <w:next w:val="1"/>
    <w:qFormat/>
    <w:uiPriority w:val="39"/>
    <w:pPr>
      <w:ind w:left="840"/>
      <w:jc w:val="left"/>
    </w:pPr>
    <w:rPr>
      <w:rFonts w:asciiTheme="minorHAnsi" w:hAnsiTheme="minorHAnsi" w:cstheme="minorHAnsi"/>
      <w:sz w:val="18"/>
      <w:szCs w:val="18"/>
    </w:rPr>
  </w:style>
  <w:style w:type="paragraph" w:styleId="16">
    <w:name w:val="toc 3"/>
    <w:basedOn w:val="1"/>
    <w:next w:val="1"/>
    <w:qFormat/>
    <w:uiPriority w:val="39"/>
    <w:pPr>
      <w:ind w:left="420"/>
      <w:jc w:val="left"/>
    </w:pPr>
    <w:rPr>
      <w:rFonts w:asciiTheme="minorHAnsi" w:hAnsiTheme="minorHAnsi" w:cstheme="minorHAnsi"/>
      <w:i/>
      <w:iCs/>
      <w:sz w:val="20"/>
      <w:szCs w:val="20"/>
    </w:rPr>
  </w:style>
  <w:style w:type="paragraph" w:styleId="17">
    <w:name w:val="Plain Text"/>
    <w:basedOn w:val="1"/>
    <w:qFormat/>
    <w:uiPriority w:val="0"/>
    <w:rPr>
      <w:rFonts w:ascii="宋体"/>
    </w:rPr>
  </w:style>
  <w:style w:type="paragraph" w:styleId="18">
    <w:name w:val="toc 8"/>
    <w:basedOn w:val="1"/>
    <w:next w:val="1"/>
    <w:qFormat/>
    <w:uiPriority w:val="39"/>
    <w:pPr>
      <w:ind w:left="1470"/>
      <w:jc w:val="left"/>
    </w:pPr>
    <w:rPr>
      <w:rFonts w:asciiTheme="minorHAnsi" w:hAnsiTheme="minorHAnsi" w:cstheme="minorHAnsi"/>
      <w:sz w:val="18"/>
      <w:szCs w:val="18"/>
    </w:rPr>
  </w:style>
  <w:style w:type="paragraph" w:styleId="19">
    <w:name w:val="Date"/>
    <w:basedOn w:val="1"/>
    <w:next w:val="1"/>
    <w:qFormat/>
    <w:uiPriority w:val="0"/>
    <w:pPr>
      <w:ind w:left="2500" w:leftChars="2500"/>
    </w:pPr>
    <w:rPr>
      <w:rFonts w:ascii="Times New Roman" w:hAnsi="Times New Roman"/>
      <w:szCs w:val="20"/>
    </w:rPr>
  </w:style>
  <w:style w:type="paragraph" w:styleId="20">
    <w:name w:val="Balloon Text"/>
    <w:basedOn w:val="1"/>
    <w:qFormat/>
    <w:uiPriority w:val="0"/>
    <w:rPr>
      <w:rFonts w:ascii="Times New Roman" w:hAnsi="Times New Roman"/>
      <w:sz w:val="18"/>
      <w:szCs w:val="20"/>
    </w:rPr>
  </w:style>
  <w:style w:type="paragraph" w:styleId="21">
    <w:name w:val="footer"/>
    <w:basedOn w:val="1"/>
    <w:qFormat/>
    <w:uiPriority w:val="0"/>
    <w:pPr>
      <w:tabs>
        <w:tab w:val="center" w:pos="4153"/>
        <w:tab w:val="right" w:pos="8306"/>
      </w:tabs>
      <w:snapToGrid w:val="0"/>
      <w:jc w:val="left"/>
    </w:pPr>
    <w:rPr>
      <w:sz w:val="18"/>
    </w:rPr>
  </w:style>
  <w:style w:type="paragraph" w:styleId="22">
    <w:name w:val="envelope return"/>
    <w:basedOn w:val="1"/>
    <w:next w:val="13"/>
    <w:unhideWhenUsed/>
    <w:qFormat/>
    <w:uiPriority w:val="99"/>
    <w:pPr>
      <w:snapToGrid w:val="0"/>
    </w:pPr>
    <w:rPr>
      <w:rFonts w:ascii="Arial" w:hAnsi="Arial"/>
    </w:rPr>
  </w:style>
  <w:style w:type="paragraph" w:styleId="23">
    <w:name w:val="header"/>
    <w:basedOn w:val="1"/>
    <w:link w:val="56"/>
    <w:qFormat/>
    <w:uiPriority w:val="99"/>
    <w:pPr>
      <w:tabs>
        <w:tab w:val="center" w:pos="4153"/>
        <w:tab w:val="right" w:pos="8306"/>
      </w:tabs>
      <w:snapToGrid w:val="0"/>
    </w:pPr>
    <w:rPr>
      <w:rFonts w:ascii="Times New Roman" w:hAnsi="Times New Roman"/>
      <w:sz w:val="18"/>
      <w:szCs w:val="20"/>
    </w:rPr>
  </w:style>
  <w:style w:type="paragraph" w:styleId="24">
    <w:name w:val="toc 1"/>
    <w:basedOn w:val="1"/>
    <w:next w:val="1"/>
    <w:qFormat/>
    <w:uiPriority w:val="39"/>
    <w:pPr>
      <w:spacing w:before="120" w:after="120"/>
      <w:jc w:val="left"/>
    </w:pPr>
    <w:rPr>
      <w:rFonts w:asciiTheme="minorHAnsi" w:hAnsiTheme="minorHAnsi" w:cstheme="minorHAnsi"/>
      <w:b/>
      <w:bCs/>
      <w:caps/>
      <w:sz w:val="20"/>
      <w:szCs w:val="20"/>
    </w:rPr>
  </w:style>
  <w:style w:type="paragraph" w:styleId="25">
    <w:name w:val="toc 4"/>
    <w:basedOn w:val="1"/>
    <w:next w:val="1"/>
    <w:qFormat/>
    <w:uiPriority w:val="39"/>
    <w:pPr>
      <w:ind w:left="630"/>
      <w:jc w:val="left"/>
    </w:pPr>
    <w:rPr>
      <w:rFonts w:asciiTheme="minorHAnsi" w:hAnsiTheme="minorHAnsi" w:cstheme="minorHAnsi"/>
      <w:sz w:val="18"/>
      <w:szCs w:val="18"/>
    </w:rPr>
  </w:style>
  <w:style w:type="paragraph" w:styleId="26">
    <w:name w:val="footnote text"/>
    <w:basedOn w:val="1"/>
    <w:unhideWhenUsed/>
    <w:qFormat/>
    <w:uiPriority w:val="99"/>
    <w:pPr>
      <w:snapToGrid w:val="0"/>
      <w:jc w:val="left"/>
    </w:pPr>
    <w:rPr>
      <w:rFonts w:ascii="Times New Roman" w:hAnsi="Times New Roman"/>
      <w:sz w:val="18"/>
      <w:szCs w:val="18"/>
    </w:rPr>
  </w:style>
  <w:style w:type="paragraph" w:styleId="27">
    <w:name w:val="toc 6"/>
    <w:basedOn w:val="1"/>
    <w:next w:val="1"/>
    <w:qFormat/>
    <w:uiPriority w:val="39"/>
    <w:pPr>
      <w:ind w:left="1050"/>
      <w:jc w:val="left"/>
    </w:pPr>
    <w:rPr>
      <w:rFonts w:asciiTheme="minorHAnsi" w:hAnsiTheme="minorHAnsi" w:cstheme="minorHAnsi"/>
      <w:sz w:val="18"/>
      <w:szCs w:val="18"/>
    </w:rPr>
  </w:style>
  <w:style w:type="paragraph" w:styleId="28">
    <w:name w:val="Body Text Indent 3"/>
    <w:basedOn w:val="1"/>
    <w:qFormat/>
    <w:uiPriority w:val="0"/>
    <w:pPr>
      <w:spacing w:after="120"/>
      <w:ind w:left="200" w:leftChars="200"/>
    </w:pPr>
    <w:rPr>
      <w:sz w:val="16"/>
      <w:szCs w:val="16"/>
    </w:rPr>
  </w:style>
  <w:style w:type="paragraph" w:styleId="29">
    <w:name w:val="toc 2"/>
    <w:basedOn w:val="1"/>
    <w:next w:val="1"/>
    <w:qFormat/>
    <w:uiPriority w:val="39"/>
    <w:pPr>
      <w:ind w:left="210"/>
      <w:jc w:val="left"/>
    </w:pPr>
    <w:rPr>
      <w:rFonts w:asciiTheme="minorHAnsi" w:hAnsiTheme="minorHAnsi" w:cstheme="minorHAnsi"/>
      <w:smallCaps/>
      <w:sz w:val="20"/>
      <w:szCs w:val="20"/>
    </w:rPr>
  </w:style>
  <w:style w:type="paragraph" w:styleId="30">
    <w:name w:val="toc 9"/>
    <w:basedOn w:val="1"/>
    <w:next w:val="1"/>
    <w:qFormat/>
    <w:uiPriority w:val="39"/>
    <w:pPr>
      <w:ind w:left="1680"/>
      <w:jc w:val="left"/>
    </w:pPr>
    <w:rPr>
      <w:rFonts w:asciiTheme="minorHAnsi" w:hAnsiTheme="minorHAnsi" w:cstheme="minorHAnsi"/>
      <w:sz w:val="18"/>
      <w:szCs w:val="18"/>
    </w:rPr>
  </w:style>
  <w:style w:type="paragraph" w:styleId="31">
    <w:name w:val="annotation subject"/>
    <w:basedOn w:val="11"/>
    <w:next w:val="11"/>
    <w:qFormat/>
    <w:uiPriority w:val="0"/>
  </w:style>
  <w:style w:type="character" w:styleId="34">
    <w:name w:val="Strong"/>
    <w:qFormat/>
    <w:uiPriority w:val="0"/>
    <w:rPr>
      <w:b/>
      <w:bCs/>
    </w:rPr>
  </w:style>
  <w:style w:type="character" w:styleId="35">
    <w:name w:val="page number"/>
    <w:basedOn w:val="33"/>
    <w:qFormat/>
    <w:uiPriority w:val="0"/>
  </w:style>
  <w:style w:type="character" w:styleId="36">
    <w:name w:val="Hyperlink"/>
    <w:qFormat/>
    <w:uiPriority w:val="99"/>
    <w:rPr>
      <w:color w:val="0000FF"/>
      <w:u w:val="single"/>
    </w:rPr>
  </w:style>
  <w:style w:type="character" w:styleId="37">
    <w:name w:val="annotation reference"/>
    <w:qFormat/>
    <w:uiPriority w:val="0"/>
    <w:rPr>
      <w:sz w:val="21"/>
    </w:rPr>
  </w:style>
  <w:style w:type="character" w:styleId="38">
    <w:name w:val="footnote reference"/>
    <w:unhideWhenUsed/>
    <w:qFormat/>
    <w:uiPriority w:val="99"/>
    <w:rPr>
      <w:vertAlign w:val="superscript"/>
    </w:rPr>
  </w:style>
  <w:style w:type="character" w:customStyle="1" w:styleId="39">
    <w:name w:val="style_kwd"/>
    <w:basedOn w:val="33"/>
    <w:qFormat/>
    <w:uiPriority w:val="0"/>
  </w:style>
  <w:style w:type="character" w:customStyle="1" w:styleId="40">
    <w:name w:val="批注文字 Char1"/>
    <w:qFormat/>
    <w:uiPriority w:val="0"/>
    <w:rPr>
      <w:rFonts w:ascii="Times New Roman" w:hAnsi="Times New Roman" w:eastAsia="宋体" w:cs="Times New Roman"/>
      <w:sz w:val="20"/>
      <w:szCs w:val="20"/>
      <w:lang w:bidi="ar-SA"/>
    </w:rPr>
  </w:style>
  <w:style w:type="character" w:customStyle="1" w:styleId="41">
    <w:name w:val="Comment Text Char"/>
    <w:qFormat/>
    <w:uiPriority w:val="0"/>
  </w:style>
  <w:style w:type="paragraph" w:customStyle="1" w:styleId="42">
    <w:name w:val="修订1"/>
    <w:qFormat/>
    <w:uiPriority w:val="0"/>
    <w:rPr>
      <w:rFonts w:ascii="Times New Roman" w:hAnsi="Times New Roman" w:eastAsia="宋体" w:cs="Times New Roman"/>
      <w:kern w:val="2"/>
      <w:sz w:val="21"/>
      <w:lang w:val="en-US" w:eastAsia="zh-CN" w:bidi="ar-SA"/>
    </w:rPr>
  </w:style>
  <w:style w:type="paragraph" w:customStyle="1" w:styleId="43">
    <w:name w:val="_Style 23"/>
    <w:basedOn w:val="1"/>
    <w:qFormat/>
    <w:uiPriority w:val="0"/>
    <w:pPr>
      <w:widowControl/>
      <w:spacing w:after="160" w:line="240" w:lineRule="exact"/>
      <w:jc w:val="left"/>
    </w:pPr>
  </w:style>
  <w:style w:type="paragraph" w:customStyle="1" w:styleId="44">
    <w:name w:val="TOC 标题1"/>
    <w:basedOn w:val="4"/>
    <w:next w:val="1"/>
    <w:qFormat/>
    <w:uiPriority w:val="39"/>
    <w:pPr>
      <w:widowControl/>
      <w:spacing w:before="480" w:after="0" w:line="276" w:lineRule="auto"/>
      <w:jc w:val="left"/>
      <w:outlineLvl w:val="9"/>
    </w:pPr>
    <w:rPr>
      <w:rFonts w:ascii="Cambria" w:hAnsi="Cambria"/>
      <w:color w:val="365F91"/>
      <w:kern w:val="0"/>
      <w:sz w:val="28"/>
    </w:rPr>
  </w:style>
  <w:style w:type="character" w:customStyle="1" w:styleId="45">
    <w:name w:val="批注文字 Char"/>
    <w:basedOn w:val="33"/>
    <w:link w:val="11"/>
    <w:qFormat/>
    <w:uiPriority w:val="0"/>
    <w:rPr>
      <w:rFonts w:eastAsia="宋体"/>
      <w:kern w:val="2"/>
      <w:sz w:val="21"/>
    </w:rPr>
  </w:style>
  <w:style w:type="character" w:customStyle="1" w:styleId="46">
    <w:name w:val="正文文本 3 Char"/>
    <w:basedOn w:val="33"/>
    <w:link w:val="12"/>
    <w:qFormat/>
    <w:uiPriority w:val="0"/>
    <w:rPr>
      <w:rFonts w:ascii="宋体" w:hAnsi="Calibri" w:eastAsia="宋体"/>
      <w:kern w:val="2"/>
      <w:sz w:val="24"/>
    </w:rPr>
  </w:style>
  <w:style w:type="character" w:customStyle="1" w:styleId="47">
    <w:name w:val="font161"/>
    <w:qFormat/>
    <w:uiPriority w:val="0"/>
    <w:rPr>
      <w:b/>
      <w:bCs/>
      <w:sz w:val="32"/>
      <w:szCs w:val="32"/>
    </w:rPr>
  </w:style>
  <w:style w:type="paragraph" w:customStyle="1" w:styleId="48">
    <w:name w:val="样式 标题 2 + Times New Roman 四号 非加粗 段前: 5 磅 段后: 0 磅 行距: 固定值 20..."/>
    <w:basedOn w:val="5"/>
    <w:qFormat/>
    <w:uiPriority w:val="0"/>
    <w:pPr>
      <w:spacing w:before="100" w:after="0" w:line="400" w:lineRule="exact"/>
    </w:pPr>
    <w:rPr>
      <w:rFonts w:ascii="Times New Roman" w:hAnsi="Times New Roman" w:cs="宋体"/>
      <w:b w:val="0"/>
      <w:sz w:val="28"/>
    </w:rPr>
  </w:style>
  <w:style w:type="paragraph" w:customStyle="1" w:styleId="49">
    <w:name w:val="样式 标题 3 + (中文) 黑体 小四 非加粗 段前: 7.8 磅 段后: 0 磅 行距: 固定值 20 磅"/>
    <w:basedOn w:val="6"/>
    <w:qFormat/>
    <w:uiPriority w:val="0"/>
    <w:pPr>
      <w:spacing w:before="0" w:after="0" w:line="400" w:lineRule="exact"/>
      <w:ind w:firstLine="0" w:firstLineChars="0"/>
    </w:pPr>
    <w:rPr>
      <w:rFonts w:ascii="Times New Roman" w:hAnsi="Times New Roman" w:cs="宋体"/>
      <w:sz w:val="24"/>
    </w:rPr>
  </w:style>
  <w:style w:type="character" w:customStyle="1" w:styleId="50">
    <w:name w:val="标题 3 Char"/>
    <w:basedOn w:val="33"/>
    <w:link w:val="6"/>
    <w:qFormat/>
    <w:uiPriority w:val="0"/>
    <w:rPr>
      <w:rFonts w:ascii="黑体" w:hAnsi="Calibri" w:eastAsia="黑体"/>
      <w:kern w:val="2"/>
      <w:sz w:val="28"/>
    </w:rPr>
  </w:style>
  <w:style w:type="paragraph" w:customStyle="1" w:styleId="51">
    <w:name w:val="修订2"/>
    <w:hidden/>
    <w:semiHidden/>
    <w:qFormat/>
    <w:uiPriority w:val="99"/>
    <w:rPr>
      <w:rFonts w:ascii="Calibri" w:hAnsi="Calibri" w:eastAsia="宋体" w:cs="Times New Roman"/>
      <w:kern w:val="2"/>
      <w:sz w:val="21"/>
      <w:szCs w:val="22"/>
      <w:lang w:val="en-US" w:eastAsia="zh-CN" w:bidi="ar-SA"/>
    </w:rPr>
  </w:style>
  <w:style w:type="paragraph" w:styleId="52">
    <w:name w:val="List Paragraph"/>
    <w:basedOn w:val="1"/>
    <w:qFormat/>
    <w:uiPriority w:val="99"/>
    <w:pPr>
      <w:ind w:firstLine="420" w:firstLineChars="200"/>
    </w:pPr>
  </w:style>
  <w:style w:type="paragraph" w:customStyle="1" w:styleId="53">
    <w:name w:val="修订3"/>
    <w:hidden/>
    <w:semiHidden/>
    <w:qFormat/>
    <w:uiPriority w:val="99"/>
    <w:rPr>
      <w:rFonts w:ascii="Calibri" w:hAnsi="Calibri" w:eastAsia="宋体" w:cs="Times New Roman"/>
      <w:kern w:val="2"/>
      <w:sz w:val="21"/>
      <w:szCs w:val="22"/>
      <w:lang w:val="en-US" w:eastAsia="zh-CN" w:bidi="ar-SA"/>
    </w:rPr>
  </w:style>
  <w:style w:type="paragraph" w:customStyle="1" w:styleId="54">
    <w:name w:val="修订4"/>
    <w:hidden/>
    <w:semiHidden/>
    <w:qFormat/>
    <w:uiPriority w:val="99"/>
    <w:rPr>
      <w:rFonts w:ascii="Calibri" w:hAnsi="Calibri" w:eastAsia="宋体" w:cs="Times New Roman"/>
      <w:kern w:val="2"/>
      <w:sz w:val="21"/>
      <w:szCs w:val="22"/>
      <w:lang w:val="en-US" w:eastAsia="zh-CN" w:bidi="ar-SA"/>
    </w:rPr>
  </w:style>
  <w:style w:type="paragraph" w:customStyle="1" w:styleId="55">
    <w:name w:val="修订5"/>
    <w:hidden/>
    <w:unhideWhenUsed/>
    <w:qFormat/>
    <w:uiPriority w:val="99"/>
    <w:rPr>
      <w:rFonts w:ascii="Calibri" w:hAnsi="Calibri" w:eastAsia="宋体" w:cs="Times New Roman"/>
      <w:kern w:val="2"/>
      <w:sz w:val="21"/>
      <w:szCs w:val="22"/>
      <w:lang w:val="en-US" w:eastAsia="zh-CN" w:bidi="ar-SA"/>
    </w:rPr>
  </w:style>
  <w:style w:type="character" w:customStyle="1" w:styleId="56">
    <w:name w:val="页眉 Char"/>
    <w:basedOn w:val="33"/>
    <w:link w:val="23"/>
    <w:qFormat/>
    <w:uiPriority w:val="99"/>
    <w:rPr>
      <w:rFonts w:ascii="Times New Roman" w:hAnsi="Times New Roman" w:eastAsia="宋体" w:cs="Times New Roman"/>
      <w:kern w:val="2"/>
      <w:sz w:val="18"/>
    </w:rPr>
  </w:style>
  <w:style w:type="paragraph" w:customStyle="1" w:styleId="57">
    <w:name w:val="修订6"/>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493811-F5D3-4107-90DD-7985C0AE7B4D}">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56</Pages>
  <Words>23334</Words>
  <Characters>24392</Characters>
  <Lines>300</Lines>
  <Paragraphs>84</Paragraphs>
  <TotalTime>0</TotalTime>
  <ScaleCrop>false</ScaleCrop>
  <LinksUpToDate>false</LinksUpToDate>
  <CharactersWithSpaces>27418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2021-06-04T00:23:00Z</dcterms:created>
  <dc:creator>Lenovo</dc:creator>
  <cp:lastModifiedBy>壹丨叶</cp:lastModifiedBy>
  <cp:lastPrinted>2019-11-01T08:14:00Z</cp:lastPrinted>
  <dcterms:modified xsi:type="dcterms:W3CDTF">2026-08-10T05:31:27Z</dcterms:modified>
  <dc:title>中华人民共和国</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9DA30C258D724CE1BCE56FCEEC6E1DD4_13</vt:lpwstr>
  </property>
  <property fmtid="{D5CDD505-2E9C-101B-9397-08002B2CF9AE}" pid="4" name="KSOTemplateDocerSaveRecord">
    <vt:lpwstr>eyJoZGlkIjoiYjQ4ZWFiZmE1YjAwYmNkZWQyNGFkOWNmNDQ0YTU0NDAiLCJ1c2VySWQiOiIzNzI0NjY0MTAifQ==</vt:lpwstr>
  </property>
</Properties>
</file>